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5974B5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80506F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80506F" w:rsidRPr="005974B5" w:rsidRDefault="0080506F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157DC3" w:rsidRDefault="00006A12" w:rsidP="005974B5">
      <w:pPr>
        <w:widowControl/>
        <w:suppressAutoHyphens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r w:rsidRPr="0018047F">
        <w:rPr>
          <w:sz w:val="28"/>
          <w:szCs w:val="28"/>
        </w:rPr>
        <w:t xml:space="preserve">О включении выявленного объекта </w:t>
      </w:r>
      <w:r w:rsidRPr="00157DC3">
        <w:rPr>
          <w:sz w:val="28"/>
          <w:szCs w:val="28"/>
        </w:rPr>
        <w:t xml:space="preserve">культурного наследия </w:t>
      </w:r>
      <w:r w:rsidR="0018047F" w:rsidRPr="00157DC3">
        <w:rPr>
          <w:sz w:val="28"/>
          <w:szCs w:val="28"/>
        </w:rPr>
        <w:t>«</w:t>
      </w:r>
      <w:r w:rsidR="005974B5" w:rsidRPr="005974B5">
        <w:rPr>
          <w:rFonts w:eastAsia="Calibri"/>
          <w:sz w:val="28"/>
          <w:szCs w:val="28"/>
        </w:rPr>
        <w:t>Комплекс. П</w:t>
      </w:r>
      <w:r w:rsidR="005974B5">
        <w:rPr>
          <w:rFonts w:eastAsia="Calibri"/>
          <w:sz w:val="28"/>
          <w:szCs w:val="28"/>
        </w:rPr>
        <w:t>рядильная фабрика братьев Разоре</w:t>
      </w:r>
      <w:r w:rsidR="005974B5" w:rsidRPr="005974B5">
        <w:rPr>
          <w:rFonts w:eastAsia="Calibri"/>
          <w:sz w:val="28"/>
          <w:szCs w:val="28"/>
        </w:rPr>
        <w:t>новых</w:t>
      </w:r>
      <w:r w:rsidR="00157DC3" w:rsidRPr="00157DC3">
        <w:rPr>
          <w:color w:val="000000"/>
          <w:sz w:val="28"/>
          <w:szCs w:val="28"/>
        </w:rPr>
        <w:t xml:space="preserve">» (Ивановская область, </w:t>
      </w:r>
      <w:r w:rsidR="005974B5">
        <w:rPr>
          <w:color w:val="000000"/>
          <w:sz w:val="28"/>
          <w:szCs w:val="28"/>
        </w:rPr>
        <w:t>г. Кинешма, Красноветкинская ул., фабричный двор</w:t>
      </w:r>
      <w:r w:rsidR="00157DC3" w:rsidRPr="00157DC3">
        <w:rPr>
          <w:color w:val="000000"/>
          <w:sz w:val="28"/>
          <w:szCs w:val="28"/>
        </w:rPr>
        <w:t>)</w:t>
      </w:r>
      <w:r w:rsidRPr="00157DC3">
        <w:rPr>
          <w:sz w:val="28"/>
          <w:szCs w:val="28"/>
        </w:rPr>
        <w:t xml:space="preserve"> в единый государственный реестр объектов культурного наследия (памятников</w:t>
      </w:r>
      <w:r w:rsidRPr="0018047F">
        <w:rPr>
          <w:sz w:val="28"/>
          <w:szCs w:val="28"/>
        </w:rPr>
        <w:t xml:space="preserve"> истории и культуры) народов Российской Федерации в качестве 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Pr="0018047F">
        <w:rPr>
          <w:sz w:val="28"/>
          <w:szCs w:val="28"/>
        </w:rPr>
        <w:t xml:space="preserve"> значения </w:t>
      </w:r>
      <w:r w:rsidR="00157DC3" w:rsidRPr="00157DC3">
        <w:rPr>
          <w:bCs/>
          <w:sz w:val="28"/>
          <w:szCs w:val="28"/>
        </w:rPr>
        <w:t>«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Архитектурный комплекс фабрики «Красная Ветка» и объектов е</w:t>
      </w:r>
      <w:r w:rsid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е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социальной инфраструктуры</w:t>
      </w:r>
      <w:r w:rsidR="00157DC3" w:rsidRPr="00157DC3">
        <w:rPr>
          <w:bCs/>
          <w:sz w:val="28"/>
          <w:szCs w:val="28"/>
        </w:rPr>
        <w:t xml:space="preserve">», 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посл.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четв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. XIX –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перв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 пол. XX вв.</w:t>
      </w:r>
      <w:r w:rsidR="0018047F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Ивановская обл., г. Кинешма, Фабричный двор ул.</w:t>
      </w:r>
      <w:r w:rsidR="0018047F" w:rsidRPr="00157DC3">
        <w:rPr>
          <w:rFonts w:eastAsia="Calibri"/>
          <w:bCs/>
          <w:sz w:val="28"/>
          <w:szCs w:val="28"/>
          <w:lang w:eastAsia="ru-RU"/>
        </w:rPr>
        <w:t>)</w:t>
      </w:r>
      <w:bookmarkEnd w:id="0"/>
    </w:p>
    <w:p w:rsidR="00006A12" w:rsidRPr="00DB37D4" w:rsidRDefault="00006A12" w:rsidP="00006A12">
      <w:pPr>
        <w:widowControl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0A19FD">
      <w:pPr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F41ACC" w:rsidRDefault="000A19FD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5974B5" w:rsidRPr="00157DC3">
        <w:rPr>
          <w:sz w:val="28"/>
          <w:szCs w:val="28"/>
        </w:rPr>
        <w:t>«</w:t>
      </w:r>
      <w:r w:rsidR="005974B5" w:rsidRPr="005974B5">
        <w:rPr>
          <w:rFonts w:eastAsia="Calibri"/>
          <w:sz w:val="28"/>
          <w:szCs w:val="28"/>
        </w:rPr>
        <w:t>Комплекс. П</w:t>
      </w:r>
      <w:r w:rsidR="005974B5">
        <w:rPr>
          <w:rFonts w:eastAsia="Calibri"/>
          <w:sz w:val="28"/>
          <w:szCs w:val="28"/>
        </w:rPr>
        <w:t>рядильная фабрика братьев Разоре</w:t>
      </w:r>
      <w:r w:rsidR="005974B5" w:rsidRPr="005974B5">
        <w:rPr>
          <w:rFonts w:eastAsia="Calibri"/>
          <w:sz w:val="28"/>
          <w:szCs w:val="28"/>
        </w:rPr>
        <w:t>новых</w:t>
      </w:r>
      <w:r w:rsidR="005974B5" w:rsidRPr="00157DC3">
        <w:rPr>
          <w:color w:val="000000"/>
          <w:sz w:val="28"/>
          <w:szCs w:val="28"/>
        </w:rPr>
        <w:t xml:space="preserve">» (Ивановская область, </w:t>
      </w:r>
      <w:r w:rsidR="005974B5">
        <w:rPr>
          <w:color w:val="000000"/>
          <w:sz w:val="28"/>
          <w:szCs w:val="28"/>
        </w:rPr>
        <w:t>г. Кинешма, Красноветкинская ул., фабричный двор</w:t>
      </w:r>
      <w:r w:rsidR="005974B5" w:rsidRPr="00157DC3">
        <w:rPr>
          <w:color w:val="000000"/>
          <w:sz w:val="28"/>
          <w:szCs w:val="28"/>
        </w:rPr>
        <w:t>)</w:t>
      </w:r>
      <w:r w:rsidR="005974B5" w:rsidRPr="00157DC3">
        <w:rPr>
          <w:sz w:val="28"/>
          <w:szCs w:val="28"/>
        </w:rPr>
        <w:t xml:space="preserve"> в единый государственный реестр объектов культурного наследия (памятников</w:t>
      </w:r>
      <w:r w:rsidR="005974B5" w:rsidRPr="0018047F">
        <w:rPr>
          <w:sz w:val="28"/>
          <w:szCs w:val="28"/>
        </w:rPr>
        <w:t xml:space="preserve"> истории и культуры) народов Российской Федерации в качестве 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5974B5" w:rsidRPr="00157DC3">
        <w:rPr>
          <w:bCs/>
          <w:sz w:val="28"/>
          <w:szCs w:val="28"/>
        </w:rPr>
        <w:t>«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Архитектурный комплекс фабрики «Красная Ветка» и объектов е</w:t>
      </w:r>
      <w:r w:rsid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е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социальной инфраструктуры</w:t>
      </w:r>
      <w:r w:rsidR="005974B5" w:rsidRPr="00157DC3">
        <w:rPr>
          <w:bCs/>
          <w:sz w:val="28"/>
          <w:szCs w:val="28"/>
        </w:rPr>
        <w:t xml:space="preserve">», 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посл.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четв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. XIX –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перв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 пол. XX вв.</w:t>
      </w:r>
      <w:r w:rsidR="005974B5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Ивановская обл., г. Кинешма, Фабричный двор ул.</w:t>
      </w:r>
      <w:r w:rsidR="005974B5" w:rsidRPr="00157DC3">
        <w:rPr>
          <w:rFonts w:eastAsia="Calibri"/>
          <w:bCs/>
          <w:sz w:val="28"/>
          <w:szCs w:val="28"/>
          <w:lang w:eastAsia="ru-RU"/>
        </w:rPr>
        <w:t>)</w:t>
      </w:r>
      <w:r w:rsidR="00157DC3">
        <w:rPr>
          <w:sz w:val="28"/>
          <w:szCs w:val="28"/>
        </w:rPr>
        <w:t xml:space="preserve"> </w:t>
      </w:r>
      <w:r>
        <w:rPr>
          <w:sz w:val="28"/>
          <w:szCs w:val="28"/>
        </w:rPr>
        <w:t>(вид – достопримечательное место)</w:t>
      </w:r>
      <w:r w:rsidRPr="00F41ACC">
        <w:rPr>
          <w:sz w:val="28"/>
          <w:szCs w:val="28"/>
        </w:rPr>
        <w:t>.</w:t>
      </w:r>
    </w:p>
    <w:p w:rsidR="000A19FD" w:rsidRPr="00702111" w:rsidRDefault="00157DC3" w:rsidP="000A19FD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5974B5" w:rsidRPr="00157DC3">
        <w:rPr>
          <w:bCs/>
          <w:sz w:val="28"/>
          <w:szCs w:val="28"/>
        </w:rPr>
        <w:t>«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Архитектурный комплекс фабрики «Красная Ветка» и объектов е</w:t>
      </w:r>
      <w:r w:rsid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е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социальной инфраструктуры</w:t>
      </w:r>
      <w:r w:rsidR="005974B5" w:rsidRPr="00157DC3">
        <w:rPr>
          <w:bCs/>
          <w:sz w:val="28"/>
          <w:szCs w:val="28"/>
        </w:rPr>
        <w:t xml:space="preserve">», 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посл.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четв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. XIX –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перв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 пол. XX вв.</w:t>
      </w:r>
      <w:r w:rsidR="005974B5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Ивановская обл., г. Кинешма, Фабричный двор ул.</w:t>
      </w:r>
      <w:r w:rsidR="005974B5" w:rsidRPr="00157DC3">
        <w:rPr>
          <w:rFonts w:eastAsia="Calibri"/>
          <w:bCs/>
          <w:sz w:val="28"/>
          <w:szCs w:val="28"/>
          <w:lang w:eastAsia="ru-RU"/>
        </w:rPr>
        <w:t>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</w:p>
    <w:p w:rsidR="000A19FD" w:rsidRDefault="00157DC3" w:rsidP="000A19FD">
      <w:pPr>
        <w:widowControl/>
        <w:suppressAutoHyphens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9FD" w:rsidRPr="00DC3F28">
        <w:rPr>
          <w:sz w:val="28"/>
          <w:szCs w:val="28"/>
        </w:rPr>
        <w:t xml:space="preserve">.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157DC3" w:rsidP="000A19F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8630CB" w:rsidRPr="008630CB" w:rsidRDefault="008630CB" w:rsidP="00006A12">
      <w:pPr>
        <w:pStyle w:val="Standard"/>
        <w:widowControl/>
        <w:rPr>
          <w:b/>
          <w:bCs/>
          <w:sz w:val="22"/>
          <w:szCs w:val="22"/>
        </w:rPr>
      </w:pPr>
    </w:p>
    <w:p w:rsidR="0018047F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Ивановской области по</w:t>
      </w:r>
    </w:p>
    <w:p w:rsidR="0018047F" w:rsidRDefault="0018047F" w:rsidP="008630CB">
      <w:pPr>
        <w:pStyle w:val="Standard"/>
        <w:widowControl/>
        <w:rPr>
          <w:bCs/>
          <w:sz w:val="28"/>
          <w:szCs w:val="28"/>
        </w:rPr>
      </w:pPr>
      <w:r>
        <w:rPr>
          <w:bCs/>
          <w:sz w:val="28"/>
          <w:szCs w:val="28"/>
        </w:rPr>
        <w:t>государственной охране</w:t>
      </w:r>
    </w:p>
    <w:p w:rsidR="00006A12" w:rsidRDefault="0018047F" w:rsidP="008630CB">
      <w:pPr>
        <w:pStyle w:val="Standard"/>
        <w:widowControl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>объектов культурного наследия</w:t>
      </w:r>
      <w:r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</w:r>
      <w:r w:rsidR="00006A12"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="00006A12" w:rsidRPr="00C17C0C">
        <w:rPr>
          <w:bCs/>
          <w:sz w:val="28"/>
          <w:szCs w:val="28"/>
        </w:rPr>
        <w:t xml:space="preserve">   А.</w:t>
      </w:r>
      <w:r w:rsidR="00124A9E">
        <w:rPr>
          <w:bCs/>
          <w:sz w:val="28"/>
          <w:szCs w:val="28"/>
        </w:rPr>
        <w:t>А</w:t>
      </w:r>
      <w:r w:rsidR="00006A12"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 w:rsidR="00006A12"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5974B5" w:rsidRPr="00157DC3">
        <w:rPr>
          <w:bCs/>
          <w:sz w:val="28"/>
          <w:szCs w:val="28"/>
        </w:rPr>
        <w:t>«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Архитектурный комплекс фабрики «Красная Ветка» и объектов е</w:t>
      </w:r>
      <w:r w:rsid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е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социальной инфраструктуры</w:t>
      </w:r>
      <w:r w:rsidR="005974B5" w:rsidRPr="00157DC3">
        <w:rPr>
          <w:bCs/>
          <w:sz w:val="28"/>
          <w:szCs w:val="28"/>
        </w:rPr>
        <w:t xml:space="preserve">», 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посл.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четв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. XIX –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перв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 пол. XX вв.</w:t>
      </w:r>
      <w:r w:rsidR="005974B5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Ивановская обл., г. Кинешма, Фабричный двор ул.</w:t>
      </w:r>
      <w:r w:rsidR="005974B5" w:rsidRPr="00157DC3">
        <w:rPr>
          <w:rFonts w:eastAsia="Calibri"/>
          <w:bCs/>
          <w:sz w:val="28"/>
          <w:szCs w:val="28"/>
          <w:lang w:eastAsia="ru-RU"/>
        </w:rPr>
        <w:t>)</w:t>
      </w:r>
    </w:p>
    <w:p w:rsidR="0080506F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EB25B6" w:rsidRDefault="0080506F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16.4pt;margin-top:6.15pt;width:510.05pt;height:335.75pt;z-index:251661312;mso-position-horizontal-relative:text;mso-position-vertical-relative:text">
            <v:imagedata r:id="rId9" o:title="1"/>
          </v:shape>
        </w:pict>
      </w:r>
    </w:p>
    <w:p w:rsidR="000A19FD" w:rsidRDefault="000A19FD" w:rsidP="00EB25B6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0506F" w:rsidRDefault="0080506F">
      <w:pPr>
        <w:widowControl/>
        <w:suppressAutoHyphens w:val="0"/>
        <w:autoSpaceDE/>
        <w:rPr>
          <w:sz w:val="28"/>
          <w:szCs w:val="28"/>
        </w:rPr>
      </w:pPr>
      <w:r>
        <w:rPr>
          <w:noProof/>
        </w:rPr>
        <w:lastRenderedPageBreak/>
        <w:pict>
          <v:shape id="_x0000_s1029" type="#_x0000_t75" style="position:absolute;margin-left:-27.35pt;margin-top:17.75pt;width:522.2pt;height:438.65pt;z-index:251663360;mso-position-horizontal-relative:text;mso-position-vertical-relative:text">
            <v:imagedata r:id="rId10" o:title="2"/>
          </v:shape>
        </w:pict>
      </w: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proofErr w:type="gramStart"/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5974B5" w:rsidRPr="00157DC3">
        <w:rPr>
          <w:bCs/>
          <w:sz w:val="28"/>
          <w:szCs w:val="28"/>
        </w:rPr>
        <w:t>«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Архитектурный комплекс фабрики «Красная Ветка» и объектов е</w:t>
      </w:r>
      <w:r w:rsid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е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социальной инфраструктуры</w:t>
      </w:r>
      <w:r w:rsidR="005974B5" w:rsidRPr="00157DC3">
        <w:rPr>
          <w:bCs/>
          <w:sz w:val="28"/>
          <w:szCs w:val="28"/>
        </w:rPr>
        <w:t xml:space="preserve">», 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посл.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четв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. XIX – </w:t>
      </w:r>
      <w:proofErr w:type="spellStart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перв</w:t>
      </w:r>
      <w:proofErr w:type="spell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. пол.</w:t>
      </w:r>
      <w:proofErr w:type="gramEnd"/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 xml:space="preserve"> XX вв.</w:t>
      </w:r>
      <w:r w:rsidR="005974B5" w:rsidRPr="00157DC3">
        <w:rPr>
          <w:rFonts w:eastAsia="Calibri"/>
          <w:bCs/>
          <w:sz w:val="28"/>
          <w:szCs w:val="28"/>
          <w:lang w:eastAsia="ru-RU"/>
        </w:rPr>
        <w:t xml:space="preserve"> (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Ивановская обл., г. Кинешма, Фабричный двор</w:t>
      </w:r>
      <w:r w:rsid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 </w:t>
      </w:r>
      <w:r w:rsidR="005974B5" w:rsidRPr="005974B5">
        <w:rPr>
          <w:rFonts w:ascii="TimesNewRomanPS-BoldMT" w:eastAsia="Calibri" w:hAnsi="TimesNewRomanPS-BoldMT" w:cs="TimesNewRomanPS-BoldMT"/>
          <w:bCs/>
          <w:sz w:val="28"/>
          <w:szCs w:val="28"/>
          <w:lang w:eastAsia="ru-RU"/>
        </w:rPr>
        <w:t>ул.</w:t>
      </w:r>
      <w:r w:rsidR="005974B5" w:rsidRPr="00157DC3">
        <w:rPr>
          <w:rFonts w:eastAsia="Calibri"/>
          <w:bCs/>
          <w:sz w:val="28"/>
          <w:szCs w:val="28"/>
          <w:lang w:eastAsia="ru-RU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356993.73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2284469.27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356943.89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2284548.94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356934.09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2284557.54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356791.22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2284682.84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356762.14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2284707.25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356740.72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2284716.66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356711.73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2284720.51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356685.96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2284689.12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356659.52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2284584.39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356654.29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2284572.60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356644.25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2284509.50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356712.09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2284460.45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356741.24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2284435.74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356719.89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2284410.23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356724.11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2284365.77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356715.53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2284358.16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356694.79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2284324.34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356673.40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2284295.39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356676.27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2284280.68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356711.50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2284251.68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356737.33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2284284.66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356740.01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2284288.06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356744.21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2284292.49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356769.62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2284318.06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356815.06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2284277.17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356850.87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2284305.26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356890.35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2284270.83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356904.58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2284287.18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356914.52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2284301.49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356893.05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2284321.53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356886.45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2284341.97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356938.53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2284417.08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356955.74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2284423.55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356989.29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2284457.65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356993.73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EB25B6" w:rsidRDefault="0080506F" w:rsidP="00EB25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2284469.27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8527B-FED3-4E8D-9D09-AD6D7687B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9</cp:revision>
  <cp:lastPrinted>2026-01-20T14:37:00Z</cp:lastPrinted>
  <dcterms:created xsi:type="dcterms:W3CDTF">2025-10-07T07:37:00Z</dcterms:created>
  <dcterms:modified xsi:type="dcterms:W3CDTF">2026-01-20T14:37:00Z</dcterms:modified>
</cp:coreProperties>
</file>