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D9" w:rsidRDefault="00693E8C" w:rsidP="003516D8">
      <w:pPr>
        <w:spacing w:line="18" w:lineRule="atLeast"/>
        <w:jc w:val="center"/>
        <w:rPr>
          <w:spacing w:val="2"/>
          <w:sz w:val="28"/>
          <w:szCs w:val="28"/>
        </w:rPr>
      </w:pPr>
      <w:bookmarkStart w:id="0" w:name="_GoBack"/>
      <w:bookmarkEnd w:id="0"/>
      <w:r w:rsidRPr="00693E8C">
        <w:rPr>
          <w:bCs/>
          <w:sz w:val="28"/>
          <w:szCs w:val="28"/>
        </w:rPr>
        <w:t xml:space="preserve">Обоснование позиции комитета </w:t>
      </w:r>
      <w:r w:rsidRPr="00693E8C">
        <w:rPr>
          <w:spacing w:val="2"/>
          <w:sz w:val="28"/>
          <w:szCs w:val="28"/>
        </w:rPr>
        <w:t xml:space="preserve">в отношении </w:t>
      </w:r>
      <w:proofErr w:type="gramStart"/>
      <w:r w:rsidRPr="00693E8C">
        <w:rPr>
          <w:spacing w:val="2"/>
          <w:sz w:val="28"/>
          <w:szCs w:val="28"/>
        </w:rPr>
        <w:t>проекта целевых показателей эффективности осуществления полномочий Российской Федерации</w:t>
      </w:r>
      <w:proofErr w:type="gramEnd"/>
      <w:r w:rsidRPr="00693E8C">
        <w:rPr>
          <w:spacing w:val="2"/>
          <w:sz w:val="28"/>
          <w:szCs w:val="28"/>
        </w:rPr>
        <w:t xml:space="preserve"> в области сохранения, использования, популяризации и государственной охраны объектов культурного наследия, переданных для осуществления органам государственной власти субъектов Российской Федерации</w:t>
      </w:r>
    </w:p>
    <w:p w:rsidR="00693E8C" w:rsidRDefault="00693E8C" w:rsidP="003516D8">
      <w:pPr>
        <w:spacing w:line="18" w:lineRule="atLeast"/>
        <w:jc w:val="center"/>
        <w:rPr>
          <w:spacing w:val="2"/>
          <w:sz w:val="28"/>
          <w:szCs w:val="28"/>
        </w:rPr>
      </w:pPr>
    </w:p>
    <w:p w:rsidR="00693E8C" w:rsidRDefault="001E732A" w:rsidP="00693E8C">
      <w:pPr>
        <w:ind w:firstLine="709"/>
        <w:jc w:val="both"/>
        <w:rPr>
          <w:spacing w:val="2"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 w:rsidR="00693E8C">
        <w:rPr>
          <w:bCs/>
          <w:sz w:val="28"/>
          <w:szCs w:val="28"/>
        </w:rPr>
        <w:t xml:space="preserve">Исходя из определения понятия оценки эффективности деятельности органов государственной власти как процесса фиксации потенциальной возможности достижения </w:t>
      </w:r>
      <w:r w:rsidR="00EC39AF">
        <w:rPr>
          <w:bCs/>
          <w:sz w:val="28"/>
          <w:szCs w:val="28"/>
        </w:rPr>
        <w:t xml:space="preserve">ими </w:t>
      </w:r>
      <w:r w:rsidR="00693E8C">
        <w:rPr>
          <w:bCs/>
          <w:sz w:val="28"/>
          <w:szCs w:val="28"/>
        </w:rPr>
        <w:t>установленного результата, выраженного количественным п</w:t>
      </w:r>
      <w:r w:rsidR="00750FE7">
        <w:rPr>
          <w:bCs/>
          <w:sz w:val="28"/>
          <w:szCs w:val="28"/>
        </w:rPr>
        <w:t>араметром (долей значения одного показателя к сумме значений показателей)</w:t>
      </w:r>
      <w:r w:rsidR="00693E8C">
        <w:rPr>
          <w:bCs/>
          <w:sz w:val="28"/>
          <w:szCs w:val="28"/>
        </w:rPr>
        <w:t xml:space="preserve">, </w:t>
      </w:r>
      <w:r w:rsidR="00EC39AF">
        <w:rPr>
          <w:bCs/>
          <w:sz w:val="28"/>
          <w:szCs w:val="28"/>
        </w:rPr>
        <w:t xml:space="preserve">можно предположить, что </w:t>
      </w:r>
      <w:r w:rsidR="00693E8C">
        <w:rPr>
          <w:bCs/>
          <w:sz w:val="28"/>
          <w:szCs w:val="28"/>
        </w:rPr>
        <w:t xml:space="preserve">целевые показатели </w:t>
      </w:r>
      <w:r w:rsidR="00750FE7" w:rsidRPr="00693E8C">
        <w:rPr>
          <w:spacing w:val="2"/>
          <w:sz w:val="28"/>
          <w:szCs w:val="28"/>
        </w:rPr>
        <w:t>эффективности осуществления полномочий Российской Федерации в области сохранения, использования, популяризации и государственной охраны объектов культурного наследия, переданны</w:t>
      </w:r>
      <w:r w:rsidR="00750FE7">
        <w:rPr>
          <w:spacing w:val="2"/>
          <w:sz w:val="28"/>
          <w:szCs w:val="28"/>
        </w:rPr>
        <w:t>е</w:t>
      </w:r>
      <w:r w:rsidR="00750FE7" w:rsidRPr="00693E8C">
        <w:rPr>
          <w:spacing w:val="2"/>
          <w:sz w:val="28"/>
          <w:szCs w:val="28"/>
        </w:rPr>
        <w:t xml:space="preserve"> для осуществления органам государственной власти субъектов Российской Федерации</w:t>
      </w:r>
      <w:proofErr w:type="gramEnd"/>
      <w:r w:rsidR="00EC39AF">
        <w:rPr>
          <w:spacing w:val="2"/>
          <w:sz w:val="28"/>
          <w:szCs w:val="28"/>
        </w:rPr>
        <w:t xml:space="preserve"> (далее – целевые показатели),</w:t>
      </w:r>
      <w:r w:rsidR="003E70CA">
        <w:rPr>
          <w:spacing w:val="2"/>
          <w:sz w:val="28"/>
          <w:szCs w:val="28"/>
        </w:rPr>
        <w:t xml:space="preserve"> должны обладать свойством репрезентативности, то есть способност</w:t>
      </w:r>
      <w:r w:rsidR="00EC39AF">
        <w:rPr>
          <w:spacing w:val="2"/>
          <w:sz w:val="28"/>
          <w:szCs w:val="28"/>
        </w:rPr>
        <w:t>ью</w:t>
      </w:r>
      <w:r w:rsidR="003E70CA">
        <w:rPr>
          <w:spacing w:val="2"/>
          <w:sz w:val="28"/>
          <w:szCs w:val="28"/>
        </w:rPr>
        <w:t xml:space="preserve"> давать представление о </w:t>
      </w:r>
      <w:r w:rsidR="00EC39AF">
        <w:rPr>
          <w:spacing w:val="2"/>
          <w:sz w:val="28"/>
          <w:szCs w:val="28"/>
        </w:rPr>
        <w:t>целом по его части. По мнению комитета, ряд целевых показателей подобным свойством не обладают.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03"/>
        <w:gridCol w:w="5918"/>
      </w:tblGrid>
      <w:tr w:rsidR="00EC39AF" w:rsidTr="00EC39AF">
        <w:tc>
          <w:tcPr>
            <w:tcW w:w="4503" w:type="dxa"/>
          </w:tcPr>
          <w:p w:rsidR="00EC39AF" w:rsidRDefault="00EC39AF" w:rsidP="002353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Целевой показатель</w:t>
            </w:r>
          </w:p>
        </w:tc>
        <w:tc>
          <w:tcPr>
            <w:tcW w:w="5918" w:type="dxa"/>
          </w:tcPr>
          <w:p w:rsidR="00EC39AF" w:rsidRDefault="00EC39AF" w:rsidP="002353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Замечания</w:t>
            </w:r>
          </w:p>
        </w:tc>
      </w:tr>
      <w:tr w:rsidR="00EC39AF" w:rsidTr="00EC39AF">
        <w:tc>
          <w:tcPr>
            <w:tcW w:w="4503" w:type="dxa"/>
          </w:tcPr>
          <w:p w:rsidR="00EC39AF" w:rsidRDefault="00EC39AF" w:rsidP="00693E8C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color w:val="000000"/>
                <w:lang w:bidi="ru-RU"/>
              </w:rPr>
              <w:t>доля объектов культурного наследия федерального значения (за исключением достопримечательных мест, объектов культурного наследия, являющихся отдельными захоронениями, некрополями), в отношении которых в отчетном периоде утверждены охранные обязательства собственников либо иных законных владельцев объектов культурного наследия федерального значения, земельных участков, в границах которых располагаются объекты археологического наследия (далее - охранные обязательства), к общему количеству таких объектов культурного наследия федерального значения, расположенных на территории</w:t>
            </w:r>
            <w:proofErr w:type="gramEnd"/>
            <w:r>
              <w:rPr>
                <w:color w:val="000000"/>
                <w:lang w:bidi="ru-RU"/>
              </w:rPr>
              <w:t xml:space="preserve"> субъекта Российской Федерации, в отношении которых по состоянию на первый день отчетного периода не были утверждены охранные обязательства (в процентах);</w:t>
            </w:r>
          </w:p>
        </w:tc>
        <w:tc>
          <w:tcPr>
            <w:tcW w:w="5918" w:type="dxa"/>
          </w:tcPr>
          <w:p w:rsidR="00EC39AF" w:rsidRDefault="003A1511" w:rsidP="00693E8C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D63CDA">
              <w:rPr>
                <w:bCs/>
              </w:rPr>
              <w:t xml:space="preserve">Показатель количества </w:t>
            </w:r>
            <w:r w:rsidR="00C1041B">
              <w:rPr>
                <w:bCs/>
              </w:rPr>
              <w:t xml:space="preserve">утвержденных </w:t>
            </w:r>
            <w:r w:rsidR="00D63CDA">
              <w:rPr>
                <w:bCs/>
              </w:rPr>
              <w:t>охранных обязатель</w:t>
            </w:r>
            <w:proofErr w:type="gramStart"/>
            <w:r w:rsidR="00D63CDA">
              <w:rPr>
                <w:bCs/>
              </w:rPr>
              <w:t>ств пр</w:t>
            </w:r>
            <w:proofErr w:type="gramEnd"/>
            <w:r w:rsidR="00D63CDA">
              <w:rPr>
                <w:bCs/>
              </w:rPr>
              <w:t xml:space="preserve">и эффективной работе органа охраны объектов культурного наследия </w:t>
            </w:r>
            <w:r w:rsidR="00C1041B">
              <w:rPr>
                <w:bCs/>
              </w:rPr>
              <w:t xml:space="preserve">с течением времени </w:t>
            </w:r>
            <w:r w:rsidR="00D63CDA">
              <w:rPr>
                <w:bCs/>
              </w:rPr>
              <w:t>стремится к 100 % обеспеченности всех памятников истории и культуры на территории региона, за установленным исключением. Таким образом, региональный орган охраны объектов культурного наследия, обеспечивший все памятники истории и культуры охранными обязательствами будет иметь необоснованно низкую долю целевого показателя</w:t>
            </w:r>
            <w:r>
              <w:rPr>
                <w:bCs/>
              </w:rPr>
              <w:t xml:space="preserve"> (далее – необоснованный результат)</w:t>
            </w:r>
            <w:r w:rsidR="00D63CDA">
              <w:rPr>
                <w:bCs/>
              </w:rPr>
              <w:t>.</w:t>
            </w:r>
          </w:p>
          <w:p w:rsidR="00D63CDA" w:rsidRPr="00D63CDA" w:rsidRDefault="003A1511" w:rsidP="0023530E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D63CDA">
              <w:rPr>
                <w:bCs/>
              </w:rPr>
              <w:t>Также не отражает эффективност</w:t>
            </w:r>
            <w:r w:rsidR="0023530E">
              <w:rPr>
                <w:bCs/>
              </w:rPr>
              <w:t>ь</w:t>
            </w:r>
            <w:r w:rsidR="00D63CDA">
              <w:rPr>
                <w:bCs/>
              </w:rPr>
              <w:t xml:space="preserve"> </w:t>
            </w:r>
            <w:proofErr w:type="gramStart"/>
            <w:r w:rsidR="00D63CDA">
              <w:rPr>
                <w:bCs/>
              </w:rPr>
              <w:t xml:space="preserve">деятельности </w:t>
            </w:r>
            <w:r>
              <w:rPr>
                <w:bCs/>
              </w:rPr>
              <w:t>регионального органа охраны объектов культурного наследия</w:t>
            </w:r>
            <w:proofErr w:type="gramEnd"/>
            <w:r>
              <w:rPr>
                <w:bCs/>
              </w:rPr>
              <w:t xml:space="preserve"> и расчет соотношения показателя. Например, на территории одного региона на первый день отчетного периода не были утверждены 100 охранных обязательств, а на территории другого – 2. На конец отчетного периода первый регион утвердил 50 охранных обязательств, а второй – 1. Оба региона будут иметь целевой показатель 50 %, что не отражает эффективность их работы в целом (далее – не отражает эффективность деятельности).</w:t>
            </w:r>
          </w:p>
        </w:tc>
      </w:tr>
      <w:tr w:rsidR="00EC39AF" w:rsidTr="00EC39AF">
        <w:tc>
          <w:tcPr>
            <w:tcW w:w="4503" w:type="dxa"/>
          </w:tcPr>
          <w:p w:rsidR="00EC39AF" w:rsidRDefault="00EC39AF" w:rsidP="00693E8C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color w:val="000000"/>
                <w:lang w:bidi="ru-RU"/>
              </w:rPr>
              <w:t>доля объектов культурного наследия федерального значения (за исключением объектов археологического наследия, достопримечательных мест, а также объектов культурного наследия, являющихся отдельными захоронениями, некрополями), на которых в отчетном периоде установлены информационные надписи и обозначения, к общему количеству таких объектов культурного наследия федерального значения, расположенных на территории субъекта Российской Федерации, в отношении которых по состоянию на первый день отчетного периода не были установлены</w:t>
            </w:r>
            <w:proofErr w:type="gramEnd"/>
            <w:r>
              <w:rPr>
                <w:color w:val="000000"/>
                <w:lang w:bidi="ru-RU"/>
              </w:rPr>
              <w:t xml:space="preserve"> информационные надписи и обозначения (в процентах);</w:t>
            </w:r>
          </w:p>
        </w:tc>
        <w:tc>
          <w:tcPr>
            <w:tcW w:w="5918" w:type="dxa"/>
          </w:tcPr>
          <w:p w:rsidR="00EC39AF" w:rsidRDefault="003A1511" w:rsidP="00693E8C">
            <w:pPr>
              <w:jc w:val="both"/>
              <w:rPr>
                <w:bCs/>
              </w:rPr>
            </w:pPr>
            <w:r w:rsidRPr="003A1511">
              <w:rPr>
                <w:bCs/>
              </w:rPr>
              <w:t xml:space="preserve">1. </w:t>
            </w:r>
            <w:r>
              <w:rPr>
                <w:bCs/>
              </w:rPr>
              <w:t>Н</w:t>
            </w:r>
            <w:r w:rsidRPr="003A1511">
              <w:rPr>
                <w:bCs/>
              </w:rPr>
              <w:t>еобоснованный результат</w:t>
            </w:r>
            <w:r>
              <w:rPr>
                <w:bCs/>
              </w:rPr>
              <w:t>;</w:t>
            </w:r>
          </w:p>
          <w:p w:rsidR="003A1511" w:rsidRDefault="003A1511" w:rsidP="00C1041B">
            <w:pPr>
              <w:jc w:val="both"/>
              <w:rPr>
                <w:bCs/>
              </w:rPr>
            </w:pPr>
            <w:r>
              <w:rPr>
                <w:bCs/>
              </w:rPr>
              <w:t>2. Не отражает эффективность деятельности</w:t>
            </w:r>
            <w:r w:rsidR="00C1041B">
              <w:rPr>
                <w:bCs/>
              </w:rPr>
              <w:t>;</w:t>
            </w:r>
          </w:p>
          <w:p w:rsidR="00C1041B" w:rsidRDefault="00C1041B" w:rsidP="00D34CDA">
            <w:pPr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proofErr w:type="gramStart"/>
            <w:r>
              <w:rPr>
                <w:bCs/>
              </w:rPr>
              <w:t>Ответственность за установку информационных надписей и обозначений на объекты культурного наследия в соответствии с пунктом 3 статьи 27 Федерального закона от 25.06.2002 № 73-ФЗ «Об объектах культурного наследия (памятниках истории и культуры) народов Российской Федерации» (далее – Закон № 73-ФЗ) возложена на собственников памятников истории и культуры или на иных законных владельцев, за исключением бесхозяйных</w:t>
            </w:r>
            <w:r w:rsidR="003D06AA">
              <w:rPr>
                <w:bCs/>
              </w:rPr>
              <w:t xml:space="preserve"> объектов культурного наследия</w:t>
            </w:r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Таким образом, </w:t>
            </w:r>
            <w:r w:rsidR="00D34CDA">
              <w:rPr>
                <w:bCs/>
              </w:rPr>
              <w:t xml:space="preserve">изменение </w:t>
            </w:r>
            <w:r w:rsidR="003D06AA">
              <w:rPr>
                <w:bCs/>
              </w:rPr>
              <w:t xml:space="preserve">данного </w:t>
            </w:r>
            <w:r>
              <w:rPr>
                <w:bCs/>
              </w:rPr>
              <w:t xml:space="preserve">целевого показателя не может </w:t>
            </w:r>
            <w:r w:rsidR="003D06AA">
              <w:rPr>
                <w:bCs/>
              </w:rPr>
              <w:t>напрямую</w:t>
            </w:r>
            <w:r>
              <w:rPr>
                <w:bCs/>
              </w:rPr>
              <w:t xml:space="preserve"> зависеть от эффективности </w:t>
            </w:r>
            <w:proofErr w:type="gramStart"/>
            <w:r w:rsidR="003D06AA">
              <w:rPr>
                <w:bCs/>
              </w:rPr>
              <w:t xml:space="preserve">деятельности </w:t>
            </w:r>
            <w:r>
              <w:rPr>
                <w:bCs/>
              </w:rPr>
              <w:t>органа охраны объектов культурного наследия</w:t>
            </w:r>
            <w:proofErr w:type="gramEnd"/>
            <w:r>
              <w:rPr>
                <w:bCs/>
              </w:rPr>
              <w:t>.</w:t>
            </w:r>
          </w:p>
          <w:p w:rsidR="0029235A" w:rsidRPr="003A1511" w:rsidRDefault="0029235A" w:rsidP="0029235A">
            <w:pPr>
              <w:jc w:val="both"/>
              <w:rPr>
                <w:bCs/>
              </w:rPr>
            </w:pPr>
            <w:r>
              <w:rPr>
                <w:bCs/>
              </w:rPr>
              <w:t xml:space="preserve">4. </w:t>
            </w:r>
            <w:proofErr w:type="gramStart"/>
            <w:r>
              <w:rPr>
                <w:bCs/>
              </w:rPr>
              <w:t xml:space="preserve">Реализация полномочий </w:t>
            </w:r>
            <w:r w:rsidRPr="0029235A">
              <w:rPr>
                <w:spacing w:val="2"/>
              </w:rPr>
              <w:t>Российской Федерации в области сохранения, использования, популяризации и государственной охраны объектов культурного наследия</w:t>
            </w:r>
            <w:r>
              <w:rPr>
                <w:spacing w:val="2"/>
              </w:rPr>
              <w:t xml:space="preserve"> органами охраны объектов культурного наследия субъектов Российской Федерации в части установки </w:t>
            </w:r>
            <w:r>
              <w:rPr>
                <w:bCs/>
              </w:rPr>
              <w:t xml:space="preserve">установку информационных </w:t>
            </w:r>
            <w:r>
              <w:rPr>
                <w:bCs/>
              </w:rPr>
              <w:lastRenderedPageBreak/>
              <w:t>надписей и обозначений на объекты культурного наследия, не имеющих собственники или иного законного владельца, не обеспечена финансированием федерального бюджета в рамках выделяемых субвенций.</w:t>
            </w:r>
            <w:proofErr w:type="gramEnd"/>
          </w:p>
        </w:tc>
      </w:tr>
      <w:tr w:rsidR="00EC39AF" w:rsidTr="00EC39AF">
        <w:tc>
          <w:tcPr>
            <w:tcW w:w="4503" w:type="dxa"/>
          </w:tcPr>
          <w:p w:rsidR="00EC39AF" w:rsidRDefault="00EC39AF" w:rsidP="00693E8C">
            <w:pPr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lastRenderedPageBreak/>
              <w:t>доля объектов культурного наследия федерального значения, в отношении которых в отчетном периоде утверждены границы территорий, к общему количеству объектов культурного наследия федерального значения, расположенных на территории субъекта Российской Федерации, в отношении которых по состоянию на первый день отчетного периода не были утверждены границы территории (в процентах);</w:t>
            </w:r>
          </w:p>
        </w:tc>
        <w:tc>
          <w:tcPr>
            <w:tcW w:w="5918" w:type="dxa"/>
          </w:tcPr>
          <w:p w:rsidR="003D06AA" w:rsidRDefault="003D06AA" w:rsidP="003D06AA">
            <w:pPr>
              <w:jc w:val="both"/>
              <w:rPr>
                <w:bCs/>
              </w:rPr>
            </w:pPr>
            <w:r w:rsidRPr="003A1511">
              <w:rPr>
                <w:bCs/>
              </w:rPr>
              <w:t xml:space="preserve">1. </w:t>
            </w:r>
            <w:r>
              <w:rPr>
                <w:bCs/>
              </w:rPr>
              <w:t>Н</w:t>
            </w:r>
            <w:r w:rsidRPr="003A1511">
              <w:rPr>
                <w:bCs/>
              </w:rPr>
              <w:t>еобоснованный результат</w:t>
            </w:r>
            <w:r>
              <w:rPr>
                <w:bCs/>
              </w:rPr>
              <w:t>;</w:t>
            </w:r>
          </w:p>
          <w:p w:rsidR="003D06AA" w:rsidRDefault="003D06AA" w:rsidP="003D06AA">
            <w:pPr>
              <w:jc w:val="both"/>
              <w:rPr>
                <w:bCs/>
              </w:rPr>
            </w:pPr>
            <w:r>
              <w:rPr>
                <w:bCs/>
              </w:rPr>
              <w:t>2. Не отражает эффективность деятельности;</w:t>
            </w:r>
          </w:p>
          <w:p w:rsidR="00EC39AF" w:rsidRPr="003D06AA" w:rsidRDefault="003D06AA" w:rsidP="006F2C73">
            <w:pPr>
              <w:jc w:val="both"/>
              <w:rPr>
                <w:bCs/>
              </w:rPr>
            </w:pPr>
            <w:r>
              <w:rPr>
                <w:bCs/>
              </w:rPr>
              <w:t>3. В соответствии с пунктом 3 Требований к составлению проектов границ территорий объектов культурного наследия, утвержденных приказом Минкультуры России от 04.06.2015 №</w:t>
            </w:r>
            <w:r w:rsidR="00D34CDA">
              <w:rPr>
                <w:bCs/>
              </w:rPr>
              <w:t> </w:t>
            </w:r>
            <w:r>
              <w:rPr>
                <w:bCs/>
              </w:rPr>
              <w:t>1745</w:t>
            </w:r>
            <w:r w:rsidR="00D34CDA">
              <w:rPr>
                <w:bCs/>
              </w:rPr>
              <w:t>,</w:t>
            </w:r>
            <w:r>
              <w:rPr>
                <w:bCs/>
              </w:rPr>
              <w:t xml:space="preserve"> разработка границ территории объекта культурного наследия осуществляется физическими и/или юридическими лиц</w:t>
            </w:r>
            <w:r w:rsidR="00D34CDA">
              <w:rPr>
                <w:bCs/>
              </w:rPr>
              <w:t xml:space="preserve">ами, то </w:t>
            </w:r>
            <w:proofErr w:type="gramStart"/>
            <w:r w:rsidR="00D34CDA">
              <w:rPr>
                <w:bCs/>
              </w:rPr>
              <w:t>есть</w:t>
            </w:r>
            <w:proofErr w:type="gramEnd"/>
            <w:r w:rsidR="00D34CDA">
              <w:rPr>
                <w:bCs/>
              </w:rPr>
              <w:t xml:space="preserve"> не возложена исключительно на органы охраны объектов культурного наследия. </w:t>
            </w:r>
            <w:r w:rsidR="00BD67AD">
              <w:rPr>
                <w:bCs/>
              </w:rPr>
              <w:t>Поступление проектов границ территорий</w:t>
            </w:r>
            <w:r w:rsidR="006F2C73">
              <w:rPr>
                <w:bCs/>
              </w:rPr>
              <w:t xml:space="preserve"> объектов культурного наследия</w:t>
            </w:r>
            <w:r w:rsidR="00BD67AD">
              <w:rPr>
                <w:bCs/>
              </w:rPr>
              <w:t xml:space="preserve">, требующих участия специалистов в области кадастровой деятельности, в орган охраны объектов культурного наследия не является регулярным и прогнозируемым. </w:t>
            </w:r>
            <w:r>
              <w:rPr>
                <w:bCs/>
              </w:rPr>
              <w:t xml:space="preserve">Таким образом, </w:t>
            </w:r>
            <w:r w:rsidR="00D34CDA">
              <w:rPr>
                <w:bCs/>
              </w:rPr>
              <w:t>изменение</w:t>
            </w:r>
            <w:r>
              <w:rPr>
                <w:bCs/>
              </w:rPr>
              <w:t xml:space="preserve"> данного целевого показателя не может напрямую зависеть от эффективности </w:t>
            </w:r>
            <w:proofErr w:type="gramStart"/>
            <w:r>
              <w:rPr>
                <w:bCs/>
              </w:rPr>
              <w:t>деятельности органа охраны объектов культурного наследия</w:t>
            </w:r>
            <w:proofErr w:type="gramEnd"/>
            <w:r>
              <w:rPr>
                <w:bCs/>
              </w:rPr>
              <w:t>.</w:t>
            </w:r>
          </w:p>
        </w:tc>
      </w:tr>
      <w:tr w:rsidR="00EC39AF" w:rsidTr="00EC39AF">
        <w:tc>
          <w:tcPr>
            <w:tcW w:w="4503" w:type="dxa"/>
          </w:tcPr>
          <w:p w:rsidR="00EC39AF" w:rsidRDefault="00EC39AF" w:rsidP="00693E8C">
            <w:pPr>
              <w:jc w:val="both"/>
              <w:rPr>
                <w:color w:val="000000"/>
                <w:lang w:bidi="ru-RU"/>
              </w:rPr>
            </w:pPr>
            <w:proofErr w:type="gramStart"/>
            <w:r>
              <w:rPr>
                <w:color w:val="000000"/>
                <w:lang w:bidi="ru-RU"/>
              </w:rPr>
              <w:t>доля объектов культурного наследия федерального значения (за исключением объектов археологического наследия, некрополей, захоронений, расположенных в границах некрополей, произведений монументального искусства, а также памятников и ансамблей, расположенных в границах достопримечательного места), в отношении которых в отчетном периоде утверждены зоны охраны, к общему количеству таких объектов культурного наследия федерального значения, расположенных на территории субъекта Российской Федерации, в отношении которых по состоянию на</w:t>
            </w:r>
            <w:proofErr w:type="gramEnd"/>
            <w:r>
              <w:rPr>
                <w:color w:val="000000"/>
                <w:lang w:bidi="ru-RU"/>
              </w:rPr>
              <w:t xml:space="preserve"> первый день отчетного периода не были утверждены зоны охраны (в процентах);</w:t>
            </w:r>
          </w:p>
        </w:tc>
        <w:tc>
          <w:tcPr>
            <w:tcW w:w="5918" w:type="dxa"/>
          </w:tcPr>
          <w:p w:rsidR="00D34CDA" w:rsidRDefault="00D34CDA" w:rsidP="00D34CDA">
            <w:pPr>
              <w:jc w:val="both"/>
              <w:rPr>
                <w:bCs/>
              </w:rPr>
            </w:pPr>
            <w:r w:rsidRPr="003A1511">
              <w:rPr>
                <w:bCs/>
              </w:rPr>
              <w:t xml:space="preserve">1. </w:t>
            </w:r>
            <w:r>
              <w:rPr>
                <w:bCs/>
              </w:rPr>
              <w:t>Н</w:t>
            </w:r>
            <w:r w:rsidRPr="003A1511">
              <w:rPr>
                <w:bCs/>
              </w:rPr>
              <w:t>еобоснованный результат</w:t>
            </w:r>
            <w:r>
              <w:rPr>
                <w:bCs/>
              </w:rPr>
              <w:t>;</w:t>
            </w:r>
          </w:p>
          <w:p w:rsidR="00D34CDA" w:rsidRDefault="00D34CDA" w:rsidP="00D34CDA">
            <w:pPr>
              <w:jc w:val="both"/>
              <w:rPr>
                <w:bCs/>
              </w:rPr>
            </w:pPr>
            <w:r>
              <w:rPr>
                <w:bCs/>
              </w:rPr>
              <w:t>2. Не отражает эффективность деятельности;</w:t>
            </w:r>
          </w:p>
          <w:p w:rsidR="00EC39AF" w:rsidRPr="00D34CDA" w:rsidRDefault="00D34CDA" w:rsidP="006F2C73">
            <w:pPr>
              <w:jc w:val="both"/>
              <w:rPr>
                <w:bCs/>
              </w:rPr>
            </w:pPr>
            <w:r>
              <w:rPr>
                <w:bCs/>
              </w:rPr>
              <w:t xml:space="preserve">3. В соответствии с пунктом 3 Положения о зонах охраны объектов культурного наследия (памятников истории и культуры) народов Российской Федерации, утвержденного постановлением Правительства Российской Федерации от 12.09.2015 № 972, разработка проектов зон охраны объектов культурного наследия, проекта объединенной зоны охраны объекта культурного наследия осуществляется физическими и юридическими лицами, то </w:t>
            </w:r>
            <w:proofErr w:type="gramStart"/>
            <w:r>
              <w:rPr>
                <w:bCs/>
              </w:rPr>
              <w:t>есть</w:t>
            </w:r>
            <w:proofErr w:type="gramEnd"/>
            <w:r>
              <w:rPr>
                <w:bCs/>
              </w:rPr>
              <w:t xml:space="preserve"> не возложена исключительно на органы охраны объектов культурного наследия. </w:t>
            </w:r>
            <w:r w:rsidR="006F2C73">
              <w:rPr>
                <w:bCs/>
              </w:rPr>
              <w:t xml:space="preserve">Поступление проектов зон охраны объектов культурного наследия, требующих участия специалистов в области кадастровой деятельности, в орган охраны объектов культурного наследия не является регулярным и прогнозируемым. </w:t>
            </w:r>
            <w:r>
              <w:rPr>
                <w:bCs/>
              </w:rPr>
              <w:t xml:space="preserve">Таким образом, изменение данного целевого показателя не может напрямую зависеть от эффективности </w:t>
            </w:r>
            <w:proofErr w:type="gramStart"/>
            <w:r>
              <w:rPr>
                <w:bCs/>
              </w:rPr>
              <w:t>деятельности органа охраны объектов культурного наследия</w:t>
            </w:r>
            <w:proofErr w:type="gramEnd"/>
            <w:r>
              <w:rPr>
                <w:bCs/>
              </w:rPr>
              <w:t>.</w:t>
            </w:r>
          </w:p>
        </w:tc>
      </w:tr>
      <w:tr w:rsidR="00EC39AF" w:rsidRPr="00D34CDA" w:rsidTr="00EC39AF">
        <w:tc>
          <w:tcPr>
            <w:tcW w:w="4503" w:type="dxa"/>
          </w:tcPr>
          <w:p w:rsidR="00EC39AF" w:rsidRPr="00D34CDA" w:rsidRDefault="00EC39AF" w:rsidP="00693E8C">
            <w:pPr>
              <w:jc w:val="both"/>
              <w:rPr>
                <w:color w:val="000000"/>
                <w:lang w:bidi="ru-RU"/>
              </w:rPr>
            </w:pPr>
            <w:r w:rsidRPr="00D34CDA">
              <w:rPr>
                <w:color w:val="000000"/>
                <w:lang w:bidi="ru-RU"/>
              </w:rPr>
              <w:t>доля</w:t>
            </w:r>
            <w:r w:rsidRPr="00D34CDA">
              <w:t xml:space="preserve"> </w:t>
            </w:r>
            <w:r w:rsidRPr="00D34CDA">
              <w:rPr>
                <w:color w:val="000000"/>
                <w:lang w:bidi="ru-RU"/>
              </w:rPr>
              <w:t>объектов</w:t>
            </w:r>
            <w:r w:rsidRPr="00D34CDA">
              <w:t xml:space="preserve"> </w:t>
            </w:r>
            <w:r w:rsidRPr="00D34CDA">
              <w:rPr>
                <w:color w:val="000000"/>
                <w:lang w:bidi="ru-RU"/>
              </w:rPr>
              <w:t>культурного</w:t>
            </w:r>
            <w:r w:rsidRPr="00D34CDA">
              <w:t xml:space="preserve"> </w:t>
            </w:r>
            <w:r w:rsidRPr="00D34CDA">
              <w:rPr>
                <w:color w:val="000000"/>
                <w:lang w:bidi="ru-RU"/>
              </w:rPr>
              <w:t>наследия</w:t>
            </w:r>
            <w:r w:rsidRPr="00D34CDA">
              <w:t xml:space="preserve"> </w:t>
            </w:r>
            <w:r w:rsidRPr="00D34CDA">
              <w:rPr>
                <w:color w:val="000000"/>
                <w:lang w:bidi="ru-RU"/>
              </w:rPr>
              <w:t>федерального</w:t>
            </w:r>
            <w:r w:rsidRPr="00D34CDA">
              <w:t xml:space="preserve"> значения, </w:t>
            </w:r>
            <w:r w:rsidRPr="00D34CDA">
              <w:rPr>
                <w:color w:val="000000"/>
                <w:lang w:bidi="ru-RU"/>
              </w:rPr>
              <w:t>в</w:t>
            </w:r>
            <w:r w:rsidRPr="00D34CDA">
              <w:t xml:space="preserve"> </w:t>
            </w:r>
            <w:r w:rsidRPr="00D34CDA">
              <w:rPr>
                <w:color w:val="000000"/>
                <w:lang w:bidi="ru-RU"/>
              </w:rPr>
              <w:t>отношении которых в отчетном периоде утвержден предмет охраны, к общему количеству объектов культурного наследия федерального значения, расположенных на территории субъекта Российской Федерации, в отношении которых по состоянию на первый день отчетного периода не был утвержден предмет охраны (в процентах);</w:t>
            </w:r>
          </w:p>
        </w:tc>
        <w:tc>
          <w:tcPr>
            <w:tcW w:w="5918" w:type="dxa"/>
          </w:tcPr>
          <w:p w:rsidR="00D34CDA" w:rsidRPr="00D34CDA" w:rsidRDefault="00D34CDA" w:rsidP="00D34CDA">
            <w:pPr>
              <w:jc w:val="both"/>
              <w:rPr>
                <w:bCs/>
              </w:rPr>
            </w:pPr>
            <w:r w:rsidRPr="00D34CDA">
              <w:rPr>
                <w:bCs/>
              </w:rPr>
              <w:t>1. Необоснованный результат;</w:t>
            </w:r>
          </w:p>
          <w:p w:rsidR="00D34CDA" w:rsidRPr="00D34CDA" w:rsidRDefault="00D34CDA" w:rsidP="00D34CDA">
            <w:pPr>
              <w:jc w:val="both"/>
              <w:rPr>
                <w:bCs/>
              </w:rPr>
            </w:pPr>
            <w:r w:rsidRPr="00D34CDA">
              <w:rPr>
                <w:bCs/>
              </w:rPr>
              <w:t>2. Не отражает эффективность деятельности;</w:t>
            </w:r>
          </w:p>
          <w:p w:rsidR="00EC39AF" w:rsidRPr="00D34CDA" w:rsidRDefault="00D34CDA" w:rsidP="00D34CDA">
            <w:pPr>
              <w:jc w:val="both"/>
              <w:rPr>
                <w:bCs/>
              </w:rPr>
            </w:pPr>
            <w:r w:rsidRPr="00D34CDA">
              <w:rPr>
                <w:bCs/>
              </w:rPr>
              <w:t xml:space="preserve">3. </w:t>
            </w:r>
            <w:r>
              <w:rPr>
                <w:bCs/>
              </w:rPr>
              <w:t>В соответствии с пунктом 2 Порядка определения предмета охраны объекта культурного наследия</w:t>
            </w:r>
            <w:r w:rsidR="006F2C73">
              <w:rPr>
                <w:bCs/>
              </w:rPr>
              <w:t xml:space="preserve">, утвержденного приказом Минкультуры России от 13.01.2016 № 28, разработка проектной документации по определению предмета охраны объекта культурного наследия может осуществляться физическими или юридическими лицами самостоятельно, то </w:t>
            </w:r>
            <w:proofErr w:type="gramStart"/>
            <w:r w:rsidR="006F2C73">
              <w:rPr>
                <w:bCs/>
              </w:rPr>
              <w:t>есть</w:t>
            </w:r>
            <w:proofErr w:type="gramEnd"/>
            <w:r w:rsidR="006F2C73">
              <w:rPr>
                <w:bCs/>
              </w:rPr>
              <w:t xml:space="preserve"> не возложена исключительно на органы охраны объектов культурного наследия. Поступление </w:t>
            </w:r>
            <w:proofErr w:type="gramStart"/>
            <w:r w:rsidR="006F2C73">
              <w:rPr>
                <w:bCs/>
              </w:rPr>
              <w:t>проектов предметов охраны объектов культурного наследия</w:t>
            </w:r>
            <w:proofErr w:type="gramEnd"/>
            <w:r w:rsidR="006F2C73">
              <w:rPr>
                <w:bCs/>
              </w:rPr>
              <w:t xml:space="preserve"> в орган охраны объектов культурного наследия не является регулярным и прогнозируемым. Таким образом, изменение данного целевого показателя не может напрямую зависеть от эффективности </w:t>
            </w:r>
            <w:proofErr w:type="gramStart"/>
            <w:r w:rsidR="006F2C73">
              <w:rPr>
                <w:bCs/>
              </w:rPr>
              <w:t>деятельности органа охраны объектов культурного наследия</w:t>
            </w:r>
            <w:proofErr w:type="gramEnd"/>
            <w:r w:rsidR="006F2C73">
              <w:rPr>
                <w:bCs/>
              </w:rPr>
              <w:t>.</w:t>
            </w:r>
          </w:p>
        </w:tc>
      </w:tr>
      <w:tr w:rsidR="00EC39AF" w:rsidTr="00EC39AF">
        <w:tc>
          <w:tcPr>
            <w:tcW w:w="4503" w:type="dxa"/>
          </w:tcPr>
          <w:p w:rsidR="00EC39AF" w:rsidRDefault="00D63CDA" w:rsidP="00693E8C">
            <w:pPr>
              <w:jc w:val="both"/>
              <w:rPr>
                <w:color w:val="000000"/>
                <w:lang w:bidi="ru-RU"/>
              </w:rPr>
            </w:pPr>
            <w:proofErr w:type="gramStart"/>
            <w:r>
              <w:rPr>
                <w:color w:val="000000"/>
                <w:lang w:bidi="ru-RU"/>
              </w:rPr>
              <w:t>доля</w:t>
            </w:r>
            <w:r>
              <w:t xml:space="preserve"> </w:t>
            </w:r>
            <w:r>
              <w:rPr>
                <w:color w:val="000000"/>
                <w:lang w:bidi="ru-RU"/>
              </w:rPr>
              <w:t>объектов</w:t>
            </w:r>
            <w:r>
              <w:t xml:space="preserve"> </w:t>
            </w:r>
            <w:r>
              <w:rPr>
                <w:color w:val="000000"/>
                <w:lang w:bidi="ru-RU"/>
              </w:rPr>
              <w:t>культурного</w:t>
            </w:r>
            <w:r>
              <w:t xml:space="preserve"> </w:t>
            </w:r>
            <w:r>
              <w:rPr>
                <w:color w:val="000000"/>
                <w:lang w:bidi="ru-RU"/>
              </w:rPr>
              <w:t>наследия</w:t>
            </w:r>
            <w:r>
              <w:t xml:space="preserve"> </w:t>
            </w:r>
            <w:r>
              <w:rPr>
                <w:color w:val="000000"/>
                <w:lang w:bidi="ru-RU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lang w:bidi="ru-RU"/>
              </w:rPr>
              <w:t>значения,</w:t>
            </w:r>
            <w:r>
              <w:t xml:space="preserve"> </w:t>
            </w:r>
            <w:r>
              <w:rPr>
                <w:color w:val="000000"/>
                <w:lang w:bidi="ru-RU"/>
              </w:rPr>
              <w:t>в</w:t>
            </w:r>
            <w:r>
              <w:t xml:space="preserve"> </w:t>
            </w:r>
            <w:r>
              <w:rPr>
                <w:color w:val="000000"/>
                <w:lang w:bidi="ru-RU"/>
              </w:rPr>
              <w:t xml:space="preserve">отношении которых за отчетный период и предшествующие ему четыре года осуществлены обследование и </w:t>
            </w:r>
            <w:proofErr w:type="spellStart"/>
            <w:r>
              <w:rPr>
                <w:color w:val="000000"/>
                <w:lang w:bidi="ru-RU"/>
              </w:rPr>
              <w:t>фотофиксация</w:t>
            </w:r>
            <w:proofErr w:type="spellEnd"/>
            <w:r>
              <w:rPr>
                <w:color w:val="000000"/>
                <w:lang w:bidi="ru-RU"/>
              </w:rPr>
              <w:t xml:space="preserve"> их состояния с составлением актов технического состояния таких объектов в целях определения мероприятий по обеспечению их сохранности, к общему количеству объектов культурного наследия федерального значения, расположенных на территории субъекта Российской Федерации по состоянию на первый день отчетного периода (в</w:t>
            </w:r>
            <w:proofErr w:type="gramEnd"/>
            <w:r>
              <w:rPr>
                <w:color w:val="000000"/>
                <w:lang w:bidi="ru-RU"/>
              </w:rPr>
              <w:t xml:space="preserve"> </w:t>
            </w:r>
            <w:proofErr w:type="gramStart"/>
            <w:r>
              <w:rPr>
                <w:color w:val="000000"/>
                <w:lang w:bidi="ru-RU"/>
              </w:rPr>
              <w:t>процентах</w:t>
            </w:r>
            <w:proofErr w:type="gramEnd"/>
            <w:r>
              <w:rPr>
                <w:color w:val="000000"/>
                <w:lang w:bidi="ru-RU"/>
              </w:rPr>
              <w:t>);</w:t>
            </w:r>
          </w:p>
        </w:tc>
        <w:tc>
          <w:tcPr>
            <w:tcW w:w="5918" w:type="dxa"/>
          </w:tcPr>
          <w:p w:rsidR="00EC39AF" w:rsidRPr="006F2C73" w:rsidRDefault="006F2C73" w:rsidP="00693E8C">
            <w:pPr>
              <w:jc w:val="both"/>
              <w:rPr>
                <w:bCs/>
              </w:rPr>
            </w:pPr>
            <w:r>
              <w:rPr>
                <w:bCs/>
              </w:rPr>
              <w:t>Замечания отсутствуют.</w:t>
            </w:r>
          </w:p>
        </w:tc>
      </w:tr>
      <w:tr w:rsidR="00D63CDA" w:rsidRPr="006F2C73" w:rsidTr="00EC39AF">
        <w:tc>
          <w:tcPr>
            <w:tcW w:w="4503" w:type="dxa"/>
          </w:tcPr>
          <w:p w:rsidR="00D63CDA" w:rsidRPr="006F2C73" w:rsidRDefault="00D63CDA" w:rsidP="00693E8C">
            <w:pPr>
              <w:jc w:val="both"/>
              <w:rPr>
                <w:color w:val="000000"/>
                <w:lang w:bidi="ru-RU"/>
              </w:rPr>
            </w:pPr>
            <w:r w:rsidRPr="006F2C73">
              <w:rPr>
                <w:color w:val="000000"/>
                <w:lang w:bidi="ru-RU"/>
              </w:rPr>
              <w:lastRenderedPageBreak/>
              <w:t>доля объектов культурного наследия федерального значения, в отношении которых в отчетном периоде проведены контрольные (надзорные) мероприятия на основании программ проверок, к общему количеству объектов культурного наследия федерального значения по состоянию на последний день отчетного периода, расположенных на территории субъекта Российской Федерации, включенных в программы проверок (в процентах);</w:t>
            </w:r>
          </w:p>
        </w:tc>
        <w:tc>
          <w:tcPr>
            <w:tcW w:w="5918" w:type="dxa"/>
          </w:tcPr>
          <w:p w:rsidR="00D63CDA" w:rsidRPr="009520F4" w:rsidRDefault="009520F4" w:rsidP="00E24AEF">
            <w:pPr>
              <w:jc w:val="both"/>
              <w:rPr>
                <w:bCs/>
              </w:rPr>
            </w:pPr>
            <w:r>
              <w:rPr>
                <w:rFonts w:eastAsiaTheme="minorHAnsi"/>
                <w:color w:val="000000"/>
                <w:lang w:eastAsia="en-US"/>
              </w:rPr>
              <w:t>В соответствии с пунктом 48 п</w:t>
            </w:r>
            <w:r w:rsidRPr="009520F4">
              <w:rPr>
                <w:rFonts w:eastAsiaTheme="minorHAnsi"/>
                <w:color w:val="000000"/>
                <w:lang w:eastAsia="en-US"/>
              </w:rPr>
              <w:t xml:space="preserve">остановление Правительства РФ от 30.06.2021 </w:t>
            </w:r>
            <w:r>
              <w:rPr>
                <w:rFonts w:eastAsiaTheme="minorHAnsi"/>
                <w:color w:val="000000"/>
                <w:lang w:eastAsia="en-US"/>
              </w:rPr>
              <w:t>№ 1093 программа проверок формируется контрольным органом на основании разрешения на проведение работ по сохранению объекта культурного наследия</w:t>
            </w:r>
            <w:r w:rsidR="00E24AEF">
              <w:rPr>
                <w:rFonts w:eastAsiaTheme="minorHAnsi"/>
                <w:color w:val="000000"/>
                <w:lang w:eastAsia="en-US"/>
              </w:rPr>
              <w:t xml:space="preserve"> федерального значения, выданного контрольным органом. Предоставление государственной услуги по выдаче разрешения на проведение работ по сохранению объекта культурного наследия носит заявительный характер, </w:t>
            </w:r>
            <w:r w:rsidR="00E24AEF">
              <w:rPr>
                <w:bCs/>
              </w:rPr>
              <w:t xml:space="preserve">не является регулярной и прогнозируемой. Таким образом, изменение данного целевого показателя не может напрямую зависеть от эффективности </w:t>
            </w:r>
            <w:proofErr w:type="gramStart"/>
            <w:r w:rsidR="00E24AEF">
              <w:rPr>
                <w:bCs/>
              </w:rPr>
              <w:t>деятельности органа охраны объектов культурного наследия</w:t>
            </w:r>
            <w:proofErr w:type="gramEnd"/>
            <w:r w:rsidR="00E24AEF">
              <w:rPr>
                <w:bCs/>
              </w:rPr>
              <w:t>.</w:t>
            </w:r>
          </w:p>
        </w:tc>
      </w:tr>
      <w:tr w:rsidR="00D63CDA" w:rsidTr="00EC39AF">
        <w:tc>
          <w:tcPr>
            <w:tcW w:w="4503" w:type="dxa"/>
          </w:tcPr>
          <w:p w:rsidR="00D63CDA" w:rsidRDefault="00D63CDA" w:rsidP="00693E8C">
            <w:pPr>
              <w:jc w:val="both"/>
              <w:rPr>
                <w:color w:val="000000"/>
                <w:lang w:bidi="ru-RU"/>
              </w:rPr>
            </w:pPr>
            <w:proofErr w:type="gramStart"/>
            <w:r>
              <w:rPr>
                <w:color w:val="000000"/>
                <w:lang w:bidi="ru-RU"/>
              </w:rPr>
              <w:t>доля объектов контроля, в отношении которых в отчетном периоде по согласованию с органами прокуратуры осуществлены контрольные (надзорные) мероприятия в рамках федерального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 федерального значения на основании выявленного индикатора риска нарушения обязательных требований, к общему количеству случаев выявления по состоянию на последний день отчетного периода соответствия объекта</w:t>
            </w:r>
            <w:proofErr w:type="gramEnd"/>
            <w:r>
              <w:rPr>
                <w:color w:val="000000"/>
                <w:lang w:bidi="ru-RU"/>
              </w:rPr>
              <w:t xml:space="preserve"> контроля параметрам, утвержденным индикаторами риска нарушения обязательных требований, и в отношении которых направлялись заявления о согласовании с прокурором проведения внепланового контрольного (надзорного) мероприятия (в процентах)</w:t>
            </w:r>
          </w:p>
        </w:tc>
        <w:tc>
          <w:tcPr>
            <w:tcW w:w="5918" w:type="dxa"/>
          </w:tcPr>
          <w:p w:rsidR="00D63CDA" w:rsidRPr="00E24AEF" w:rsidRDefault="00E24AEF" w:rsidP="00693E8C">
            <w:pPr>
              <w:jc w:val="both"/>
              <w:rPr>
                <w:bCs/>
              </w:rPr>
            </w:pPr>
            <w:r w:rsidRPr="00E24AEF">
              <w:rPr>
                <w:bCs/>
              </w:rPr>
              <w:t xml:space="preserve">Случаи выявления </w:t>
            </w:r>
            <w:r>
              <w:rPr>
                <w:bCs/>
              </w:rPr>
              <w:t xml:space="preserve">нарушения обязательных требований на основании индикатора риска </w:t>
            </w:r>
            <w:r>
              <w:rPr>
                <w:color w:val="000000"/>
                <w:lang w:bidi="ru-RU"/>
              </w:rPr>
              <w:t xml:space="preserve">нарушения обязательных требований не являются регулярными и прогнозируемыми. </w:t>
            </w:r>
            <w:r>
              <w:rPr>
                <w:bCs/>
              </w:rPr>
              <w:t xml:space="preserve">Таким образом, изменение данного целевого показателя не может напрямую зависеть от эффективности </w:t>
            </w:r>
            <w:proofErr w:type="gramStart"/>
            <w:r>
              <w:rPr>
                <w:bCs/>
              </w:rPr>
              <w:t>деятельности органа охраны объектов культурного наследия</w:t>
            </w:r>
            <w:proofErr w:type="gramEnd"/>
            <w:r>
              <w:rPr>
                <w:bCs/>
              </w:rPr>
              <w:t>.</w:t>
            </w:r>
          </w:p>
        </w:tc>
      </w:tr>
    </w:tbl>
    <w:p w:rsidR="001E732A" w:rsidRPr="00D32B34" w:rsidRDefault="001E732A" w:rsidP="00D32B3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 xml:space="preserve">В настоящее время </w:t>
      </w:r>
      <w:r w:rsidR="00D32B34">
        <w:rPr>
          <w:bCs/>
          <w:sz w:val="28"/>
          <w:szCs w:val="28"/>
        </w:rPr>
        <w:t>увеличение количества</w:t>
      </w:r>
      <w:r>
        <w:rPr>
          <w:bCs/>
          <w:sz w:val="28"/>
          <w:szCs w:val="28"/>
        </w:rPr>
        <w:t xml:space="preserve"> </w:t>
      </w:r>
      <w:r w:rsidR="0029235A">
        <w:rPr>
          <w:bCs/>
          <w:sz w:val="28"/>
          <w:szCs w:val="28"/>
        </w:rPr>
        <w:t xml:space="preserve">и содержание представленных </w:t>
      </w:r>
      <w:r w:rsidRPr="00693E8C">
        <w:rPr>
          <w:spacing w:val="2"/>
          <w:sz w:val="28"/>
          <w:szCs w:val="28"/>
        </w:rPr>
        <w:t>целевых показателей эффективности осуществления полномочий Российской Федерации в области сохранения, использования, популяризации и государственной охраны объектов культурного наследия, переданных для осуществления органам государственной власти субъектов Российской Федерации</w:t>
      </w:r>
      <w:r w:rsidR="00D65E96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</w:rPr>
        <w:t xml:space="preserve"> не </w:t>
      </w:r>
      <w:r w:rsidR="00D32B34">
        <w:rPr>
          <w:spacing w:val="2"/>
          <w:sz w:val="28"/>
          <w:szCs w:val="28"/>
        </w:rPr>
        <w:t>обусловлено</w:t>
      </w:r>
      <w:r>
        <w:t xml:space="preserve"> </w:t>
      </w:r>
      <w:r w:rsidRPr="00D32B34">
        <w:rPr>
          <w:sz w:val="28"/>
          <w:szCs w:val="28"/>
        </w:rPr>
        <w:t>методик</w:t>
      </w:r>
      <w:r w:rsidR="00D32B34" w:rsidRPr="00D32B34">
        <w:rPr>
          <w:sz w:val="28"/>
          <w:szCs w:val="28"/>
        </w:rPr>
        <w:t>ой</w:t>
      </w:r>
      <w:r w:rsidRPr="00D32B34">
        <w:rPr>
          <w:sz w:val="28"/>
          <w:szCs w:val="28"/>
        </w:rPr>
        <w:t xml:space="preserve"> распределения субвенций на осуществление переданных органам государственной власти субъектов Российской Федерации в соответствии с пунктом 1 статьи 9.1 Федерального закона от 25</w:t>
      </w:r>
      <w:proofErr w:type="gramEnd"/>
      <w:r w:rsidRPr="00D32B34">
        <w:rPr>
          <w:sz w:val="28"/>
          <w:szCs w:val="28"/>
        </w:rPr>
        <w:t xml:space="preserve"> июня 2002 года № 73-ФЗ «Об объектах культурного наследия (памятниках истории и культуры) народов Российской Федерации» полномочий Российской Федерации в отношении объектов культурного наследия.</w:t>
      </w:r>
    </w:p>
    <w:sectPr w:rsidR="001E732A" w:rsidRPr="00D32B34" w:rsidSect="003516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>
      <w:start w:val="1"/>
      <w:numFmt w:val="decimal"/>
      <w:lvlText w:val="%2."/>
      <w:lvlJc w:val="left"/>
      <w:pPr>
        <w:tabs>
          <w:tab w:val="num" w:pos="2989"/>
        </w:tabs>
        <w:ind w:left="2989" w:hanging="360"/>
      </w:pPr>
    </w:lvl>
    <w:lvl w:ilvl="2">
      <w:start w:val="1"/>
      <w:numFmt w:val="decimal"/>
      <w:lvlText w:val="%3."/>
      <w:lvlJc w:val="left"/>
      <w:pPr>
        <w:tabs>
          <w:tab w:val="num" w:pos="3349"/>
        </w:tabs>
        <w:ind w:left="3349" w:hanging="360"/>
      </w:pPr>
    </w:lvl>
    <w:lvl w:ilvl="3">
      <w:start w:val="1"/>
      <w:numFmt w:val="decimal"/>
      <w:lvlText w:val="%4."/>
      <w:lvlJc w:val="left"/>
      <w:pPr>
        <w:tabs>
          <w:tab w:val="num" w:pos="3709"/>
        </w:tabs>
        <w:ind w:left="3709" w:hanging="360"/>
      </w:pPr>
    </w:lvl>
    <w:lvl w:ilvl="4">
      <w:start w:val="1"/>
      <w:numFmt w:val="decimal"/>
      <w:lvlText w:val="%5."/>
      <w:lvlJc w:val="left"/>
      <w:pPr>
        <w:tabs>
          <w:tab w:val="num" w:pos="4069"/>
        </w:tabs>
        <w:ind w:left="4069" w:hanging="360"/>
      </w:pPr>
    </w:lvl>
    <w:lvl w:ilvl="5">
      <w:start w:val="1"/>
      <w:numFmt w:val="decimal"/>
      <w:lvlText w:val="%6."/>
      <w:lvlJc w:val="left"/>
      <w:pPr>
        <w:tabs>
          <w:tab w:val="num" w:pos="4429"/>
        </w:tabs>
        <w:ind w:left="4429" w:hanging="360"/>
      </w:pPr>
    </w:lvl>
    <w:lvl w:ilvl="6">
      <w:start w:val="1"/>
      <w:numFmt w:val="decimal"/>
      <w:lvlText w:val="%7."/>
      <w:lvlJc w:val="left"/>
      <w:pPr>
        <w:tabs>
          <w:tab w:val="num" w:pos="4789"/>
        </w:tabs>
        <w:ind w:left="4789" w:hanging="360"/>
      </w:pPr>
    </w:lvl>
    <w:lvl w:ilvl="7">
      <w:start w:val="1"/>
      <w:numFmt w:val="decimal"/>
      <w:lvlText w:val="%8."/>
      <w:lvlJc w:val="left"/>
      <w:pPr>
        <w:tabs>
          <w:tab w:val="num" w:pos="5149"/>
        </w:tabs>
        <w:ind w:left="5149" w:hanging="360"/>
      </w:pPr>
    </w:lvl>
    <w:lvl w:ilvl="8">
      <w:start w:val="1"/>
      <w:numFmt w:val="decimal"/>
      <w:lvlText w:val="%9."/>
      <w:lvlJc w:val="left"/>
      <w:pPr>
        <w:tabs>
          <w:tab w:val="num" w:pos="5509"/>
        </w:tabs>
        <w:ind w:left="5509" w:hanging="360"/>
      </w:pPr>
    </w:lvl>
  </w:abstractNum>
  <w:abstractNum w:abstractNumId="1">
    <w:nsid w:val="61542C93"/>
    <w:multiLevelType w:val="hybridMultilevel"/>
    <w:tmpl w:val="7B6687FA"/>
    <w:lvl w:ilvl="0" w:tplc="EDDCD7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64B1E"/>
    <w:multiLevelType w:val="hybridMultilevel"/>
    <w:tmpl w:val="7B6687FA"/>
    <w:lvl w:ilvl="0" w:tplc="EDDCD7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5469"/>
    <w:rsid w:val="00007E77"/>
    <w:rsid w:val="0001069B"/>
    <w:rsid w:val="00011CBC"/>
    <w:rsid w:val="000121C6"/>
    <w:rsid w:val="00016341"/>
    <w:rsid w:val="000170F1"/>
    <w:rsid w:val="0001786F"/>
    <w:rsid w:val="0002223A"/>
    <w:rsid w:val="00023C21"/>
    <w:rsid w:val="00024518"/>
    <w:rsid w:val="00024FC0"/>
    <w:rsid w:val="00025104"/>
    <w:rsid w:val="000312E7"/>
    <w:rsid w:val="000326CC"/>
    <w:rsid w:val="000327FA"/>
    <w:rsid w:val="00033265"/>
    <w:rsid w:val="00033AD3"/>
    <w:rsid w:val="00035B11"/>
    <w:rsid w:val="00035D9D"/>
    <w:rsid w:val="00037F72"/>
    <w:rsid w:val="00040942"/>
    <w:rsid w:val="00042444"/>
    <w:rsid w:val="00042BE1"/>
    <w:rsid w:val="0004346E"/>
    <w:rsid w:val="00044761"/>
    <w:rsid w:val="00045DC1"/>
    <w:rsid w:val="00047B1F"/>
    <w:rsid w:val="00050C74"/>
    <w:rsid w:val="000518FF"/>
    <w:rsid w:val="00053046"/>
    <w:rsid w:val="00057D20"/>
    <w:rsid w:val="0006197E"/>
    <w:rsid w:val="00062A5A"/>
    <w:rsid w:val="00065145"/>
    <w:rsid w:val="0006725A"/>
    <w:rsid w:val="0006738D"/>
    <w:rsid w:val="000704DA"/>
    <w:rsid w:val="00070E4C"/>
    <w:rsid w:val="00072FC2"/>
    <w:rsid w:val="00074897"/>
    <w:rsid w:val="00076FED"/>
    <w:rsid w:val="00080A56"/>
    <w:rsid w:val="00081CD2"/>
    <w:rsid w:val="00082DAD"/>
    <w:rsid w:val="00083777"/>
    <w:rsid w:val="000846F1"/>
    <w:rsid w:val="000878A9"/>
    <w:rsid w:val="0008796E"/>
    <w:rsid w:val="0009094F"/>
    <w:rsid w:val="00090A97"/>
    <w:rsid w:val="00094401"/>
    <w:rsid w:val="00096255"/>
    <w:rsid w:val="000963B7"/>
    <w:rsid w:val="000A19FF"/>
    <w:rsid w:val="000A1E0B"/>
    <w:rsid w:val="000A28C7"/>
    <w:rsid w:val="000A6B62"/>
    <w:rsid w:val="000A779D"/>
    <w:rsid w:val="000B3D03"/>
    <w:rsid w:val="000B564C"/>
    <w:rsid w:val="000B7525"/>
    <w:rsid w:val="000B783D"/>
    <w:rsid w:val="000C66B6"/>
    <w:rsid w:val="000D13D0"/>
    <w:rsid w:val="000D19FE"/>
    <w:rsid w:val="000D3751"/>
    <w:rsid w:val="000D467B"/>
    <w:rsid w:val="000D7572"/>
    <w:rsid w:val="000E1104"/>
    <w:rsid w:val="000E333C"/>
    <w:rsid w:val="000E344D"/>
    <w:rsid w:val="000E4438"/>
    <w:rsid w:val="000E4B78"/>
    <w:rsid w:val="000E7691"/>
    <w:rsid w:val="000F2644"/>
    <w:rsid w:val="000F3AC2"/>
    <w:rsid w:val="000F3D3D"/>
    <w:rsid w:val="000F61A1"/>
    <w:rsid w:val="000F70D2"/>
    <w:rsid w:val="000F752B"/>
    <w:rsid w:val="0010013E"/>
    <w:rsid w:val="00102D71"/>
    <w:rsid w:val="001034E5"/>
    <w:rsid w:val="00103EB3"/>
    <w:rsid w:val="00103F97"/>
    <w:rsid w:val="00106BC2"/>
    <w:rsid w:val="001141CD"/>
    <w:rsid w:val="001160D4"/>
    <w:rsid w:val="00116694"/>
    <w:rsid w:val="0011728A"/>
    <w:rsid w:val="00120F8D"/>
    <w:rsid w:val="00122521"/>
    <w:rsid w:val="001230B9"/>
    <w:rsid w:val="001237A6"/>
    <w:rsid w:val="00123E02"/>
    <w:rsid w:val="0012474C"/>
    <w:rsid w:val="00126307"/>
    <w:rsid w:val="00127978"/>
    <w:rsid w:val="00127ACB"/>
    <w:rsid w:val="001309CA"/>
    <w:rsid w:val="00130C53"/>
    <w:rsid w:val="001349DA"/>
    <w:rsid w:val="001414E1"/>
    <w:rsid w:val="0014306D"/>
    <w:rsid w:val="001435CF"/>
    <w:rsid w:val="001441E3"/>
    <w:rsid w:val="00144FB5"/>
    <w:rsid w:val="00150A00"/>
    <w:rsid w:val="001609A7"/>
    <w:rsid w:val="001646D0"/>
    <w:rsid w:val="00164D8A"/>
    <w:rsid w:val="0016643B"/>
    <w:rsid w:val="00171219"/>
    <w:rsid w:val="00171596"/>
    <w:rsid w:val="001726A7"/>
    <w:rsid w:val="00174877"/>
    <w:rsid w:val="00176E8A"/>
    <w:rsid w:val="00177290"/>
    <w:rsid w:val="001806CB"/>
    <w:rsid w:val="00184945"/>
    <w:rsid w:val="001869FA"/>
    <w:rsid w:val="00187EAC"/>
    <w:rsid w:val="001901A9"/>
    <w:rsid w:val="00191EEE"/>
    <w:rsid w:val="00194DD1"/>
    <w:rsid w:val="001A06B5"/>
    <w:rsid w:val="001A128B"/>
    <w:rsid w:val="001A162D"/>
    <w:rsid w:val="001A1A70"/>
    <w:rsid w:val="001B07DB"/>
    <w:rsid w:val="001B1417"/>
    <w:rsid w:val="001B186B"/>
    <w:rsid w:val="001B39AC"/>
    <w:rsid w:val="001B472E"/>
    <w:rsid w:val="001B5EE3"/>
    <w:rsid w:val="001B62BF"/>
    <w:rsid w:val="001B6987"/>
    <w:rsid w:val="001C6DB4"/>
    <w:rsid w:val="001C72E8"/>
    <w:rsid w:val="001C792A"/>
    <w:rsid w:val="001D234C"/>
    <w:rsid w:val="001D2933"/>
    <w:rsid w:val="001D6616"/>
    <w:rsid w:val="001D70E2"/>
    <w:rsid w:val="001E0670"/>
    <w:rsid w:val="001E2220"/>
    <w:rsid w:val="001E45D6"/>
    <w:rsid w:val="001E544E"/>
    <w:rsid w:val="001E732A"/>
    <w:rsid w:val="001F4DBA"/>
    <w:rsid w:val="001F5C31"/>
    <w:rsid w:val="001F700A"/>
    <w:rsid w:val="001F7654"/>
    <w:rsid w:val="0020054C"/>
    <w:rsid w:val="0020247B"/>
    <w:rsid w:val="00204306"/>
    <w:rsid w:val="002066C5"/>
    <w:rsid w:val="00206B16"/>
    <w:rsid w:val="00212D3D"/>
    <w:rsid w:val="002141BD"/>
    <w:rsid w:val="00216534"/>
    <w:rsid w:val="00217DEB"/>
    <w:rsid w:val="0022187C"/>
    <w:rsid w:val="00221F02"/>
    <w:rsid w:val="002223FF"/>
    <w:rsid w:val="002229F8"/>
    <w:rsid w:val="00224B19"/>
    <w:rsid w:val="00224E34"/>
    <w:rsid w:val="00226804"/>
    <w:rsid w:val="00231569"/>
    <w:rsid w:val="00232B4A"/>
    <w:rsid w:val="0023491F"/>
    <w:rsid w:val="0023509A"/>
    <w:rsid w:val="0023530E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53C30"/>
    <w:rsid w:val="00253DFD"/>
    <w:rsid w:val="00253F02"/>
    <w:rsid w:val="002542E6"/>
    <w:rsid w:val="00256835"/>
    <w:rsid w:val="00256D67"/>
    <w:rsid w:val="00257912"/>
    <w:rsid w:val="002608D7"/>
    <w:rsid w:val="00263F54"/>
    <w:rsid w:val="002642F9"/>
    <w:rsid w:val="00264E74"/>
    <w:rsid w:val="00265057"/>
    <w:rsid w:val="002650B8"/>
    <w:rsid w:val="00265916"/>
    <w:rsid w:val="00267F86"/>
    <w:rsid w:val="00273D2B"/>
    <w:rsid w:val="00273EBA"/>
    <w:rsid w:val="002752AB"/>
    <w:rsid w:val="002773B3"/>
    <w:rsid w:val="00277799"/>
    <w:rsid w:val="00282CB9"/>
    <w:rsid w:val="0028685E"/>
    <w:rsid w:val="0028697B"/>
    <w:rsid w:val="00286C67"/>
    <w:rsid w:val="00290D88"/>
    <w:rsid w:val="00291895"/>
    <w:rsid w:val="00291C2E"/>
    <w:rsid w:val="0029235A"/>
    <w:rsid w:val="00294AC1"/>
    <w:rsid w:val="00294F22"/>
    <w:rsid w:val="002954A7"/>
    <w:rsid w:val="00295FDD"/>
    <w:rsid w:val="00297A21"/>
    <w:rsid w:val="00297A71"/>
    <w:rsid w:val="002A0D95"/>
    <w:rsid w:val="002A1501"/>
    <w:rsid w:val="002A1F77"/>
    <w:rsid w:val="002A6069"/>
    <w:rsid w:val="002B0AE1"/>
    <w:rsid w:val="002B20B8"/>
    <w:rsid w:val="002B3FBE"/>
    <w:rsid w:val="002B72F3"/>
    <w:rsid w:val="002B7E25"/>
    <w:rsid w:val="002C0996"/>
    <w:rsid w:val="002C0E07"/>
    <w:rsid w:val="002C1F9B"/>
    <w:rsid w:val="002C48DA"/>
    <w:rsid w:val="002C56F8"/>
    <w:rsid w:val="002D3D68"/>
    <w:rsid w:val="002D5C14"/>
    <w:rsid w:val="002D7163"/>
    <w:rsid w:val="002D7AEA"/>
    <w:rsid w:val="002E2E3D"/>
    <w:rsid w:val="002E423E"/>
    <w:rsid w:val="002E5AD5"/>
    <w:rsid w:val="002E7339"/>
    <w:rsid w:val="002E79EC"/>
    <w:rsid w:val="002F03B3"/>
    <w:rsid w:val="002F4068"/>
    <w:rsid w:val="002F4765"/>
    <w:rsid w:val="002F58DA"/>
    <w:rsid w:val="002F5E6D"/>
    <w:rsid w:val="002F63EA"/>
    <w:rsid w:val="003008B4"/>
    <w:rsid w:val="003009C4"/>
    <w:rsid w:val="003063C1"/>
    <w:rsid w:val="00306490"/>
    <w:rsid w:val="00307E29"/>
    <w:rsid w:val="00313F02"/>
    <w:rsid w:val="003148E3"/>
    <w:rsid w:val="0031628F"/>
    <w:rsid w:val="00316E39"/>
    <w:rsid w:val="0031788B"/>
    <w:rsid w:val="00317F0E"/>
    <w:rsid w:val="00320BC7"/>
    <w:rsid w:val="00320FCD"/>
    <w:rsid w:val="00322204"/>
    <w:rsid w:val="00323050"/>
    <w:rsid w:val="00323E16"/>
    <w:rsid w:val="00330F67"/>
    <w:rsid w:val="003313BF"/>
    <w:rsid w:val="003332DF"/>
    <w:rsid w:val="003361FF"/>
    <w:rsid w:val="00336408"/>
    <w:rsid w:val="003404CC"/>
    <w:rsid w:val="00342C82"/>
    <w:rsid w:val="00344621"/>
    <w:rsid w:val="003457E1"/>
    <w:rsid w:val="00345BED"/>
    <w:rsid w:val="00345D55"/>
    <w:rsid w:val="00350EEA"/>
    <w:rsid w:val="00351621"/>
    <w:rsid w:val="003516D8"/>
    <w:rsid w:val="00352DE4"/>
    <w:rsid w:val="00355884"/>
    <w:rsid w:val="003559AF"/>
    <w:rsid w:val="00355DBD"/>
    <w:rsid w:val="00356D0E"/>
    <w:rsid w:val="00357C5D"/>
    <w:rsid w:val="00363FB8"/>
    <w:rsid w:val="00370276"/>
    <w:rsid w:val="00371261"/>
    <w:rsid w:val="00371B42"/>
    <w:rsid w:val="003730B1"/>
    <w:rsid w:val="0037670C"/>
    <w:rsid w:val="003773A1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63FB"/>
    <w:rsid w:val="00396EE5"/>
    <w:rsid w:val="003A1511"/>
    <w:rsid w:val="003A1C5F"/>
    <w:rsid w:val="003A39F4"/>
    <w:rsid w:val="003A62E0"/>
    <w:rsid w:val="003B1868"/>
    <w:rsid w:val="003B1A72"/>
    <w:rsid w:val="003B3D88"/>
    <w:rsid w:val="003B3F8F"/>
    <w:rsid w:val="003C103E"/>
    <w:rsid w:val="003D06AA"/>
    <w:rsid w:val="003D0D0D"/>
    <w:rsid w:val="003D5D02"/>
    <w:rsid w:val="003D759B"/>
    <w:rsid w:val="003E11A8"/>
    <w:rsid w:val="003E22EA"/>
    <w:rsid w:val="003E37C9"/>
    <w:rsid w:val="003E52F7"/>
    <w:rsid w:val="003E5569"/>
    <w:rsid w:val="003E70CA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37"/>
    <w:rsid w:val="00402C59"/>
    <w:rsid w:val="004050C0"/>
    <w:rsid w:val="00406CEC"/>
    <w:rsid w:val="00412A74"/>
    <w:rsid w:val="00412E3C"/>
    <w:rsid w:val="00414719"/>
    <w:rsid w:val="00416B41"/>
    <w:rsid w:val="00416B85"/>
    <w:rsid w:val="004173B9"/>
    <w:rsid w:val="0041740E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35E74"/>
    <w:rsid w:val="00436641"/>
    <w:rsid w:val="00440F01"/>
    <w:rsid w:val="0044391F"/>
    <w:rsid w:val="004439C7"/>
    <w:rsid w:val="00446B65"/>
    <w:rsid w:val="00446B68"/>
    <w:rsid w:val="00447626"/>
    <w:rsid w:val="0045030A"/>
    <w:rsid w:val="0045328B"/>
    <w:rsid w:val="00453DAF"/>
    <w:rsid w:val="00460DD2"/>
    <w:rsid w:val="00462365"/>
    <w:rsid w:val="004624E8"/>
    <w:rsid w:val="00462A08"/>
    <w:rsid w:val="00463D2D"/>
    <w:rsid w:val="0046776D"/>
    <w:rsid w:val="00467BC2"/>
    <w:rsid w:val="004702A8"/>
    <w:rsid w:val="00470E80"/>
    <w:rsid w:val="00475DD2"/>
    <w:rsid w:val="00477E8B"/>
    <w:rsid w:val="0048368C"/>
    <w:rsid w:val="00486F5E"/>
    <w:rsid w:val="00491FE9"/>
    <w:rsid w:val="00492135"/>
    <w:rsid w:val="00495A36"/>
    <w:rsid w:val="004964F2"/>
    <w:rsid w:val="0049667E"/>
    <w:rsid w:val="004A07CC"/>
    <w:rsid w:val="004A1F3C"/>
    <w:rsid w:val="004A37E8"/>
    <w:rsid w:val="004A4698"/>
    <w:rsid w:val="004A5186"/>
    <w:rsid w:val="004A59EF"/>
    <w:rsid w:val="004A77A9"/>
    <w:rsid w:val="004B094E"/>
    <w:rsid w:val="004B31E2"/>
    <w:rsid w:val="004B4848"/>
    <w:rsid w:val="004B598B"/>
    <w:rsid w:val="004C04D9"/>
    <w:rsid w:val="004C2403"/>
    <w:rsid w:val="004C3860"/>
    <w:rsid w:val="004C70DD"/>
    <w:rsid w:val="004D1720"/>
    <w:rsid w:val="004D7C64"/>
    <w:rsid w:val="004E1F07"/>
    <w:rsid w:val="004E4C86"/>
    <w:rsid w:val="004E6B30"/>
    <w:rsid w:val="004E6D18"/>
    <w:rsid w:val="004F030C"/>
    <w:rsid w:val="004F487A"/>
    <w:rsid w:val="004F49A9"/>
    <w:rsid w:val="004F5C0E"/>
    <w:rsid w:val="004F751D"/>
    <w:rsid w:val="004F783C"/>
    <w:rsid w:val="0050055D"/>
    <w:rsid w:val="005017A2"/>
    <w:rsid w:val="00504B1A"/>
    <w:rsid w:val="005073B0"/>
    <w:rsid w:val="005129A7"/>
    <w:rsid w:val="0051378A"/>
    <w:rsid w:val="00514D3D"/>
    <w:rsid w:val="00514F09"/>
    <w:rsid w:val="005158CA"/>
    <w:rsid w:val="005159D5"/>
    <w:rsid w:val="00516935"/>
    <w:rsid w:val="005317CD"/>
    <w:rsid w:val="0053236C"/>
    <w:rsid w:val="005331A1"/>
    <w:rsid w:val="005344A1"/>
    <w:rsid w:val="00536066"/>
    <w:rsid w:val="00537948"/>
    <w:rsid w:val="0054197C"/>
    <w:rsid w:val="005453AB"/>
    <w:rsid w:val="00545A6E"/>
    <w:rsid w:val="00550429"/>
    <w:rsid w:val="005504A3"/>
    <w:rsid w:val="0055393A"/>
    <w:rsid w:val="00553EF2"/>
    <w:rsid w:val="00556D2B"/>
    <w:rsid w:val="00561192"/>
    <w:rsid w:val="00563400"/>
    <w:rsid w:val="00564806"/>
    <w:rsid w:val="00565277"/>
    <w:rsid w:val="00567D3F"/>
    <w:rsid w:val="005711F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1E"/>
    <w:rsid w:val="00581BB1"/>
    <w:rsid w:val="00583659"/>
    <w:rsid w:val="00586C37"/>
    <w:rsid w:val="00593E16"/>
    <w:rsid w:val="00595E2A"/>
    <w:rsid w:val="00596AA3"/>
    <w:rsid w:val="00596FEF"/>
    <w:rsid w:val="00597C86"/>
    <w:rsid w:val="005A23A2"/>
    <w:rsid w:val="005A494F"/>
    <w:rsid w:val="005A5BD0"/>
    <w:rsid w:val="005B01FB"/>
    <w:rsid w:val="005B02DC"/>
    <w:rsid w:val="005B1414"/>
    <w:rsid w:val="005B3305"/>
    <w:rsid w:val="005B3372"/>
    <w:rsid w:val="005B3394"/>
    <w:rsid w:val="005B3632"/>
    <w:rsid w:val="005B37C8"/>
    <w:rsid w:val="005B4B10"/>
    <w:rsid w:val="005B50E6"/>
    <w:rsid w:val="005B6F95"/>
    <w:rsid w:val="005B7468"/>
    <w:rsid w:val="005C371A"/>
    <w:rsid w:val="005C4029"/>
    <w:rsid w:val="005C4D88"/>
    <w:rsid w:val="005C7A15"/>
    <w:rsid w:val="005D175C"/>
    <w:rsid w:val="005D5098"/>
    <w:rsid w:val="005D517B"/>
    <w:rsid w:val="005D5D3C"/>
    <w:rsid w:val="005D79CB"/>
    <w:rsid w:val="005E0708"/>
    <w:rsid w:val="005E2A22"/>
    <w:rsid w:val="005E3D93"/>
    <w:rsid w:val="005E5608"/>
    <w:rsid w:val="005F0A86"/>
    <w:rsid w:val="006045C1"/>
    <w:rsid w:val="00606338"/>
    <w:rsid w:val="00610918"/>
    <w:rsid w:val="00611836"/>
    <w:rsid w:val="00611B21"/>
    <w:rsid w:val="006125B7"/>
    <w:rsid w:val="006144DB"/>
    <w:rsid w:val="00621D10"/>
    <w:rsid w:val="006220A1"/>
    <w:rsid w:val="0062442D"/>
    <w:rsid w:val="00624D66"/>
    <w:rsid w:val="00625CD9"/>
    <w:rsid w:val="0062632A"/>
    <w:rsid w:val="006264CA"/>
    <w:rsid w:val="006273DE"/>
    <w:rsid w:val="006335DE"/>
    <w:rsid w:val="006343B3"/>
    <w:rsid w:val="0063553A"/>
    <w:rsid w:val="00640A2D"/>
    <w:rsid w:val="006427A6"/>
    <w:rsid w:val="00642F2E"/>
    <w:rsid w:val="006476B1"/>
    <w:rsid w:val="00652FD9"/>
    <w:rsid w:val="006566FF"/>
    <w:rsid w:val="00656872"/>
    <w:rsid w:val="00656D15"/>
    <w:rsid w:val="00657358"/>
    <w:rsid w:val="00664D17"/>
    <w:rsid w:val="006707D1"/>
    <w:rsid w:val="00672800"/>
    <w:rsid w:val="00674E32"/>
    <w:rsid w:val="0067611B"/>
    <w:rsid w:val="00676708"/>
    <w:rsid w:val="00681897"/>
    <w:rsid w:val="00683741"/>
    <w:rsid w:val="006846C6"/>
    <w:rsid w:val="00684DBC"/>
    <w:rsid w:val="00690BB6"/>
    <w:rsid w:val="00693E8C"/>
    <w:rsid w:val="00694683"/>
    <w:rsid w:val="00696177"/>
    <w:rsid w:val="006A0D6A"/>
    <w:rsid w:val="006A137D"/>
    <w:rsid w:val="006A13D5"/>
    <w:rsid w:val="006A20E5"/>
    <w:rsid w:val="006A237A"/>
    <w:rsid w:val="006A2970"/>
    <w:rsid w:val="006A4FE5"/>
    <w:rsid w:val="006A5030"/>
    <w:rsid w:val="006A5370"/>
    <w:rsid w:val="006A622E"/>
    <w:rsid w:val="006B12C5"/>
    <w:rsid w:val="006B1FFD"/>
    <w:rsid w:val="006B2490"/>
    <w:rsid w:val="006B57A0"/>
    <w:rsid w:val="006C0BBF"/>
    <w:rsid w:val="006C0D0F"/>
    <w:rsid w:val="006C524A"/>
    <w:rsid w:val="006C72E9"/>
    <w:rsid w:val="006C7379"/>
    <w:rsid w:val="006D0B8E"/>
    <w:rsid w:val="006D19BB"/>
    <w:rsid w:val="006D3F5B"/>
    <w:rsid w:val="006D4983"/>
    <w:rsid w:val="006D5FC9"/>
    <w:rsid w:val="006D761B"/>
    <w:rsid w:val="006D769D"/>
    <w:rsid w:val="006E0DF7"/>
    <w:rsid w:val="006E0E59"/>
    <w:rsid w:val="006E2169"/>
    <w:rsid w:val="006E2FBF"/>
    <w:rsid w:val="006E3C04"/>
    <w:rsid w:val="006E4A9E"/>
    <w:rsid w:val="006F0E2D"/>
    <w:rsid w:val="006F17A7"/>
    <w:rsid w:val="006F29C2"/>
    <w:rsid w:val="006F2C73"/>
    <w:rsid w:val="006F2E14"/>
    <w:rsid w:val="006F4831"/>
    <w:rsid w:val="006F65A5"/>
    <w:rsid w:val="006F6963"/>
    <w:rsid w:val="00700C87"/>
    <w:rsid w:val="0070208F"/>
    <w:rsid w:val="00702DB9"/>
    <w:rsid w:val="007055F4"/>
    <w:rsid w:val="0070615E"/>
    <w:rsid w:val="007062C3"/>
    <w:rsid w:val="00707086"/>
    <w:rsid w:val="00711FDA"/>
    <w:rsid w:val="007121C3"/>
    <w:rsid w:val="00714177"/>
    <w:rsid w:val="00721A19"/>
    <w:rsid w:val="00721A87"/>
    <w:rsid w:val="0072383F"/>
    <w:rsid w:val="0072444D"/>
    <w:rsid w:val="007256D1"/>
    <w:rsid w:val="007276A2"/>
    <w:rsid w:val="00730DF8"/>
    <w:rsid w:val="007325BC"/>
    <w:rsid w:val="007352AD"/>
    <w:rsid w:val="00736D2A"/>
    <w:rsid w:val="00737036"/>
    <w:rsid w:val="007371F6"/>
    <w:rsid w:val="007408F8"/>
    <w:rsid w:val="00740B05"/>
    <w:rsid w:val="007453C6"/>
    <w:rsid w:val="00747E51"/>
    <w:rsid w:val="00750FE7"/>
    <w:rsid w:val="0075512C"/>
    <w:rsid w:val="00757707"/>
    <w:rsid w:val="00757C9A"/>
    <w:rsid w:val="007608F2"/>
    <w:rsid w:val="00761650"/>
    <w:rsid w:val="00767A4E"/>
    <w:rsid w:val="00767B5D"/>
    <w:rsid w:val="007735C0"/>
    <w:rsid w:val="00776DB3"/>
    <w:rsid w:val="007776CB"/>
    <w:rsid w:val="007817FC"/>
    <w:rsid w:val="007930D9"/>
    <w:rsid w:val="00793726"/>
    <w:rsid w:val="0079511F"/>
    <w:rsid w:val="00795293"/>
    <w:rsid w:val="007A1353"/>
    <w:rsid w:val="007A1505"/>
    <w:rsid w:val="007A1CAE"/>
    <w:rsid w:val="007A226C"/>
    <w:rsid w:val="007A37DF"/>
    <w:rsid w:val="007A6B3F"/>
    <w:rsid w:val="007A740D"/>
    <w:rsid w:val="007A7907"/>
    <w:rsid w:val="007B04B5"/>
    <w:rsid w:val="007B0A40"/>
    <w:rsid w:val="007C0AD4"/>
    <w:rsid w:val="007C22BA"/>
    <w:rsid w:val="007C2386"/>
    <w:rsid w:val="007C2C4A"/>
    <w:rsid w:val="007C2E4C"/>
    <w:rsid w:val="007C42DF"/>
    <w:rsid w:val="007C6403"/>
    <w:rsid w:val="007D1BB7"/>
    <w:rsid w:val="007D21BE"/>
    <w:rsid w:val="007D27C3"/>
    <w:rsid w:val="007D3501"/>
    <w:rsid w:val="007D7086"/>
    <w:rsid w:val="007D7491"/>
    <w:rsid w:val="007E03E9"/>
    <w:rsid w:val="007E1ADE"/>
    <w:rsid w:val="007E5EE4"/>
    <w:rsid w:val="007E6BD4"/>
    <w:rsid w:val="007E7488"/>
    <w:rsid w:val="007F4767"/>
    <w:rsid w:val="0080156D"/>
    <w:rsid w:val="0080163E"/>
    <w:rsid w:val="00802E5B"/>
    <w:rsid w:val="00803940"/>
    <w:rsid w:val="0080632E"/>
    <w:rsid w:val="00807C6D"/>
    <w:rsid w:val="008108DF"/>
    <w:rsid w:val="00811E47"/>
    <w:rsid w:val="0081419E"/>
    <w:rsid w:val="00814C00"/>
    <w:rsid w:val="00814E6C"/>
    <w:rsid w:val="00815DFD"/>
    <w:rsid w:val="00815E2D"/>
    <w:rsid w:val="00816C8A"/>
    <w:rsid w:val="00822B00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405B2"/>
    <w:rsid w:val="00841DE1"/>
    <w:rsid w:val="008424D9"/>
    <w:rsid w:val="00843CD3"/>
    <w:rsid w:val="008467E4"/>
    <w:rsid w:val="00846CC9"/>
    <w:rsid w:val="00850B81"/>
    <w:rsid w:val="00851A2B"/>
    <w:rsid w:val="00853387"/>
    <w:rsid w:val="00854111"/>
    <w:rsid w:val="00857936"/>
    <w:rsid w:val="00863821"/>
    <w:rsid w:val="00863B25"/>
    <w:rsid w:val="00865E4F"/>
    <w:rsid w:val="008662FB"/>
    <w:rsid w:val="00867FC2"/>
    <w:rsid w:val="0087010C"/>
    <w:rsid w:val="008715E2"/>
    <w:rsid w:val="00871953"/>
    <w:rsid w:val="00872D21"/>
    <w:rsid w:val="00874656"/>
    <w:rsid w:val="00874FA6"/>
    <w:rsid w:val="00875350"/>
    <w:rsid w:val="00881343"/>
    <w:rsid w:val="00881A55"/>
    <w:rsid w:val="008829CA"/>
    <w:rsid w:val="00883BB5"/>
    <w:rsid w:val="0088530B"/>
    <w:rsid w:val="00894416"/>
    <w:rsid w:val="008959BE"/>
    <w:rsid w:val="00896CFA"/>
    <w:rsid w:val="0089772C"/>
    <w:rsid w:val="008A17DE"/>
    <w:rsid w:val="008A7F1A"/>
    <w:rsid w:val="008B1AA7"/>
    <w:rsid w:val="008B4E35"/>
    <w:rsid w:val="008B6466"/>
    <w:rsid w:val="008B730A"/>
    <w:rsid w:val="008C0B45"/>
    <w:rsid w:val="008C1EB7"/>
    <w:rsid w:val="008C38C7"/>
    <w:rsid w:val="008C4E5D"/>
    <w:rsid w:val="008C56CE"/>
    <w:rsid w:val="008C606B"/>
    <w:rsid w:val="008D5037"/>
    <w:rsid w:val="008D6680"/>
    <w:rsid w:val="008D7D06"/>
    <w:rsid w:val="008E03AC"/>
    <w:rsid w:val="008E1B53"/>
    <w:rsid w:val="008E27D5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48FA"/>
    <w:rsid w:val="009154A6"/>
    <w:rsid w:val="00916437"/>
    <w:rsid w:val="00916723"/>
    <w:rsid w:val="00917964"/>
    <w:rsid w:val="00921495"/>
    <w:rsid w:val="00922482"/>
    <w:rsid w:val="009226E8"/>
    <w:rsid w:val="0092292F"/>
    <w:rsid w:val="00926735"/>
    <w:rsid w:val="00927086"/>
    <w:rsid w:val="00932297"/>
    <w:rsid w:val="00934F64"/>
    <w:rsid w:val="009430D9"/>
    <w:rsid w:val="009459C3"/>
    <w:rsid w:val="00946925"/>
    <w:rsid w:val="00951FB5"/>
    <w:rsid w:val="00951FCB"/>
    <w:rsid w:val="009520F4"/>
    <w:rsid w:val="00953365"/>
    <w:rsid w:val="0095344D"/>
    <w:rsid w:val="009607EC"/>
    <w:rsid w:val="009613B9"/>
    <w:rsid w:val="009642BB"/>
    <w:rsid w:val="0097155C"/>
    <w:rsid w:val="0097301A"/>
    <w:rsid w:val="0097428A"/>
    <w:rsid w:val="009777C1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06D0"/>
    <w:rsid w:val="009A1D3D"/>
    <w:rsid w:val="009A2406"/>
    <w:rsid w:val="009A26D3"/>
    <w:rsid w:val="009A31DF"/>
    <w:rsid w:val="009A3406"/>
    <w:rsid w:val="009A5769"/>
    <w:rsid w:val="009A5846"/>
    <w:rsid w:val="009B0069"/>
    <w:rsid w:val="009B1B2E"/>
    <w:rsid w:val="009B2432"/>
    <w:rsid w:val="009B7ABF"/>
    <w:rsid w:val="009B7E08"/>
    <w:rsid w:val="009C3D1B"/>
    <w:rsid w:val="009C3E6A"/>
    <w:rsid w:val="009C4814"/>
    <w:rsid w:val="009C6ED7"/>
    <w:rsid w:val="009D00FF"/>
    <w:rsid w:val="009D03CA"/>
    <w:rsid w:val="009D0F88"/>
    <w:rsid w:val="009D415F"/>
    <w:rsid w:val="009E28F9"/>
    <w:rsid w:val="009E3092"/>
    <w:rsid w:val="009E5DA5"/>
    <w:rsid w:val="009E6125"/>
    <w:rsid w:val="009E6570"/>
    <w:rsid w:val="009E745E"/>
    <w:rsid w:val="009E74BF"/>
    <w:rsid w:val="009F0696"/>
    <w:rsid w:val="009F2E55"/>
    <w:rsid w:val="009F5478"/>
    <w:rsid w:val="009F750D"/>
    <w:rsid w:val="00A0445A"/>
    <w:rsid w:val="00A05F17"/>
    <w:rsid w:val="00A060C6"/>
    <w:rsid w:val="00A12ED8"/>
    <w:rsid w:val="00A15B6C"/>
    <w:rsid w:val="00A16E0D"/>
    <w:rsid w:val="00A16ED5"/>
    <w:rsid w:val="00A21A8C"/>
    <w:rsid w:val="00A242B2"/>
    <w:rsid w:val="00A24709"/>
    <w:rsid w:val="00A26F49"/>
    <w:rsid w:val="00A27D87"/>
    <w:rsid w:val="00A303F5"/>
    <w:rsid w:val="00A306AD"/>
    <w:rsid w:val="00A315BC"/>
    <w:rsid w:val="00A32E67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07AC"/>
    <w:rsid w:val="00A5119A"/>
    <w:rsid w:val="00A51F63"/>
    <w:rsid w:val="00A536AE"/>
    <w:rsid w:val="00A544B2"/>
    <w:rsid w:val="00A55987"/>
    <w:rsid w:val="00A56745"/>
    <w:rsid w:val="00A56B1C"/>
    <w:rsid w:val="00A6374F"/>
    <w:rsid w:val="00A638AA"/>
    <w:rsid w:val="00A63A0D"/>
    <w:rsid w:val="00A66A26"/>
    <w:rsid w:val="00A66E51"/>
    <w:rsid w:val="00A66EB0"/>
    <w:rsid w:val="00A7160D"/>
    <w:rsid w:val="00A761FA"/>
    <w:rsid w:val="00A773F0"/>
    <w:rsid w:val="00A7779D"/>
    <w:rsid w:val="00A80E56"/>
    <w:rsid w:val="00A82B6E"/>
    <w:rsid w:val="00A84602"/>
    <w:rsid w:val="00A87A21"/>
    <w:rsid w:val="00A87DC9"/>
    <w:rsid w:val="00A920F6"/>
    <w:rsid w:val="00A92E2D"/>
    <w:rsid w:val="00A931E9"/>
    <w:rsid w:val="00A93926"/>
    <w:rsid w:val="00A96752"/>
    <w:rsid w:val="00A97C19"/>
    <w:rsid w:val="00AA2C16"/>
    <w:rsid w:val="00AA4276"/>
    <w:rsid w:val="00AA4FE3"/>
    <w:rsid w:val="00AA6D49"/>
    <w:rsid w:val="00AA6FF3"/>
    <w:rsid w:val="00AA7697"/>
    <w:rsid w:val="00AB3516"/>
    <w:rsid w:val="00AB38C6"/>
    <w:rsid w:val="00AB3A3D"/>
    <w:rsid w:val="00AB7EF3"/>
    <w:rsid w:val="00AC1985"/>
    <w:rsid w:val="00AC1DBC"/>
    <w:rsid w:val="00AC2267"/>
    <w:rsid w:val="00AC7043"/>
    <w:rsid w:val="00AD1E9D"/>
    <w:rsid w:val="00AD3FD4"/>
    <w:rsid w:val="00AD59E3"/>
    <w:rsid w:val="00AD5BCF"/>
    <w:rsid w:val="00AD5CE5"/>
    <w:rsid w:val="00AE0413"/>
    <w:rsid w:val="00AE4986"/>
    <w:rsid w:val="00AE4F23"/>
    <w:rsid w:val="00AE578C"/>
    <w:rsid w:val="00AF0E0F"/>
    <w:rsid w:val="00AF231D"/>
    <w:rsid w:val="00AF2AC6"/>
    <w:rsid w:val="00AF4911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1233D"/>
    <w:rsid w:val="00B124DE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FD0"/>
    <w:rsid w:val="00B46A1F"/>
    <w:rsid w:val="00B5016C"/>
    <w:rsid w:val="00B51F3B"/>
    <w:rsid w:val="00B534DB"/>
    <w:rsid w:val="00B53DCE"/>
    <w:rsid w:val="00B541B0"/>
    <w:rsid w:val="00B624A0"/>
    <w:rsid w:val="00B64C34"/>
    <w:rsid w:val="00B64FAF"/>
    <w:rsid w:val="00B6514B"/>
    <w:rsid w:val="00B67394"/>
    <w:rsid w:val="00B70137"/>
    <w:rsid w:val="00B712FF"/>
    <w:rsid w:val="00B740AF"/>
    <w:rsid w:val="00B77737"/>
    <w:rsid w:val="00B80BE0"/>
    <w:rsid w:val="00B81590"/>
    <w:rsid w:val="00B869E0"/>
    <w:rsid w:val="00B90163"/>
    <w:rsid w:val="00B92071"/>
    <w:rsid w:val="00B94380"/>
    <w:rsid w:val="00B97E8B"/>
    <w:rsid w:val="00BA0526"/>
    <w:rsid w:val="00BA1002"/>
    <w:rsid w:val="00BA1914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5AA7"/>
    <w:rsid w:val="00BB7DBE"/>
    <w:rsid w:val="00BC04CE"/>
    <w:rsid w:val="00BC101B"/>
    <w:rsid w:val="00BC1B0A"/>
    <w:rsid w:val="00BC1B2C"/>
    <w:rsid w:val="00BC3CD9"/>
    <w:rsid w:val="00BC7633"/>
    <w:rsid w:val="00BD0554"/>
    <w:rsid w:val="00BD1411"/>
    <w:rsid w:val="00BD2BCD"/>
    <w:rsid w:val="00BD3480"/>
    <w:rsid w:val="00BD374E"/>
    <w:rsid w:val="00BD3AC5"/>
    <w:rsid w:val="00BD4EB9"/>
    <w:rsid w:val="00BD54B2"/>
    <w:rsid w:val="00BD67AD"/>
    <w:rsid w:val="00BD6EED"/>
    <w:rsid w:val="00BE0514"/>
    <w:rsid w:val="00BE12A6"/>
    <w:rsid w:val="00BE2DDD"/>
    <w:rsid w:val="00BF0C3B"/>
    <w:rsid w:val="00BF22DF"/>
    <w:rsid w:val="00BF3FD8"/>
    <w:rsid w:val="00BF4B1C"/>
    <w:rsid w:val="00BF6BB5"/>
    <w:rsid w:val="00C03EC7"/>
    <w:rsid w:val="00C05C71"/>
    <w:rsid w:val="00C0796E"/>
    <w:rsid w:val="00C07BC4"/>
    <w:rsid w:val="00C1041B"/>
    <w:rsid w:val="00C12FC5"/>
    <w:rsid w:val="00C1314A"/>
    <w:rsid w:val="00C17A6F"/>
    <w:rsid w:val="00C206C7"/>
    <w:rsid w:val="00C20C59"/>
    <w:rsid w:val="00C2233B"/>
    <w:rsid w:val="00C22AA7"/>
    <w:rsid w:val="00C238F6"/>
    <w:rsid w:val="00C30F74"/>
    <w:rsid w:val="00C32CE5"/>
    <w:rsid w:val="00C3533A"/>
    <w:rsid w:val="00C362E0"/>
    <w:rsid w:val="00C36C17"/>
    <w:rsid w:val="00C37B88"/>
    <w:rsid w:val="00C41444"/>
    <w:rsid w:val="00C43883"/>
    <w:rsid w:val="00C44EAD"/>
    <w:rsid w:val="00C46442"/>
    <w:rsid w:val="00C46B03"/>
    <w:rsid w:val="00C46EA7"/>
    <w:rsid w:val="00C47475"/>
    <w:rsid w:val="00C52BCE"/>
    <w:rsid w:val="00C61AA3"/>
    <w:rsid w:val="00C66069"/>
    <w:rsid w:val="00C662E3"/>
    <w:rsid w:val="00C763D7"/>
    <w:rsid w:val="00C8142E"/>
    <w:rsid w:val="00C8162C"/>
    <w:rsid w:val="00C81690"/>
    <w:rsid w:val="00C85E63"/>
    <w:rsid w:val="00C86D14"/>
    <w:rsid w:val="00C8768A"/>
    <w:rsid w:val="00C8780B"/>
    <w:rsid w:val="00C90FDE"/>
    <w:rsid w:val="00C93064"/>
    <w:rsid w:val="00C95430"/>
    <w:rsid w:val="00CA0056"/>
    <w:rsid w:val="00CA0415"/>
    <w:rsid w:val="00CA0F95"/>
    <w:rsid w:val="00CB1892"/>
    <w:rsid w:val="00CB3B53"/>
    <w:rsid w:val="00CB40BC"/>
    <w:rsid w:val="00CC158A"/>
    <w:rsid w:val="00CC2861"/>
    <w:rsid w:val="00CC4320"/>
    <w:rsid w:val="00CC4FA8"/>
    <w:rsid w:val="00CC6F99"/>
    <w:rsid w:val="00CC7CAD"/>
    <w:rsid w:val="00CD1FC8"/>
    <w:rsid w:val="00CD416A"/>
    <w:rsid w:val="00CD6E0A"/>
    <w:rsid w:val="00CE0E59"/>
    <w:rsid w:val="00CE15F6"/>
    <w:rsid w:val="00CE2E10"/>
    <w:rsid w:val="00CE3659"/>
    <w:rsid w:val="00CE5CD7"/>
    <w:rsid w:val="00CF2214"/>
    <w:rsid w:val="00CF3449"/>
    <w:rsid w:val="00CF46FB"/>
    <w:rsid w:val="00CF5CE7"/>
    <w:rsid w:val="00CF7060"/>
    <w:rsid w:val="00CF778C"/>
    <w:rsid w:val="00D0146C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27CE"/>
    <w:rsid w:val="00D24413"/>
    <w:rsid w:val="00D25399"/>
    <w:rsid w:val="00D274E0"/>
    <w:rsid w:val="00D30D77"/>
    <w:rsid w:val="00D314B1"/>
    <w:rsid w:val="00D32B34"/>
    <w:rsid w:val="00D3436D"/>
    <w:rsid w:val="00D34CDA"/>
    <w:rsid w:val="00D40495"/>
    <w:rsid w:val="00D417D0"/>
    <w:rsid w:val="00D435FB"/>
    <w:rsid w:val="00D500B3"/>
    <w:rsid w:val="00D51136"/>
    <w:rsid w:val="00D522CC"/>
    <w:rsid w:val="00D535C7"/>
    <w:rsid w:val="00D603FB"/>
    <w:rsid w:val="00D63CDA"/>
    <w:rsid w:val="00D63D2E"/>
    <w:rsid w:val="00D64985"/>
    <w:rsid w:val="00D64CE4"/>
    <w:rsid w:val="00D64FE8"/>
    <w:rsid w:val="00D65E96"/>
    <w:rsid w:val="00D6697E"/>
    <w:rsid w:val="00D71A5C"/>
    <w:rsid w:val="00D71AFE"/>
    <w:rsid w:val="00D73A9A"/>
    <w:rsid w:val="00D74BED"/>
    <w:rsid w:val="00D74CE0"/>
    <w:rsid w:val="00D82E92"/>
    <w:rsid w:val="00D85DEE"/>
    <w:rsid w:val="00D869EC"/>
    <w:rsid w:val="00D9076E"/>
    <w:rsid w:val="00D930A6"/>
    <w:rsid w:val="00D931BE"/>
    <w:rsid w:val="00D969D1"/>
    <w:rsid w:val="00DA1CBB"/>
    <w:rsid w:val="00DA412B"/>
    <w:rsid w:val="00DA61F7"/>
    <w:rsid w:val="00DA6564"/>
    <w:rsid w:val="00DB0981"/>
    <w:rsid w:val="00DB4B62"/>
    <w:rsid w:val="00DB5AC3"/>
    <w:rsid w:val="00DB5CDF"/>
    <w:rsid w:val="00DB5DFB"/>
    <w:rsid w:val="00DB5F6B"/>
    <w:rsid w:val="00DB6209"/>
    <w:rsid w:val="00DC1D99"/>
    <w:rsid w:val="00DC3426"/>
    <w:rsid w:val="00DC448D"/>
    <w:rsid w:val="00DD2066"/>
    <w:rsid w:val="00DD40E4"/>
    <w:rsid w:val="00DD4A2A"/>
    <w:rsid w:val="00DD73B8"/>
    <w:rsid w:val="00DD7A9D"/>
    <w:rsid w:val="00DD7BBE"/>
    <w:rsid w:val="00DE1AA8"/>
    <w:rsid w:val="00DE234B"/>
    <w:rsid w:val="00DE2E7A"/>
    <w:rsid w:val="00DE64C3"/>
    <w:rsid w:val="00DE64D9"/>
    <w:rsid w:val="00DF2D9C"/>
    <w:rsid w:val="00DF3FF4"/>
    <w:rsid w:val="00DF47D8"/>
    <w:rsid w:val="00DF5100"/>
    <w:rsid w:val="00DF6B69"/>
    <w:rsid w:val="00E0189A"/>
    <w:rsid w:val="00E022AA"/>
    <w:rsid w:val="00E03D46"/>
    <w:rsid w:val="00E04E53"/>
    <w:rsid w:val="00E068AE"/>
    <w:rsid w:val="00E1136F"/>
    <w:rsid w:val="00E118A6"/>
    <w:rsid w:val="00E124F9"/>
    <w:rsid w:val="00E16773"/>
    <w:rsid w:val="00E17356"/>
    <w:rsid w:val="00E17DAC"/>
    <w:rsid w:val="00E232D1"/>
    <w:rsid w:val="00E23337"/>
    <w:rsid w:val="00E23862"/>
    <w:rsid w:val="00E24AEF"/>
    <w:rsid w:val="00E25EF6"/>
    <w:rsid w:val="00E313EB"/>
    <w:rsid w:val="00E31800"/>
    <w:rsid w:val="00E31D64"/>
    <w:rsid w:val="00E31D87"/>
    <w:rsid w:val="00E32CA5"/>
    <w:rsid w:val="00E332BD"/>
    <w:rsid w:val="00E36C99"/>
    <w:rsid w:val="00E4038C"/>
    <w:rsid w:val="00E408FA"/>
    <w:rsid w:val="00E40A3C"/>
    <w:rsid w:val="00E448C6"/>
    <w:rsid w:val="00E44A13"/>
    <w:rsid w:val="00E474DF"/>
    <w:rsid w:val="00E477C4"/>
    <w:rsid w:val="00E47833"/>
    <w:rsid w:val="00E57148"/>
    <w:rsid w:val="00E602A9"/>
    <w:rsid w:val="00E603C9"/>
    <w:rsid w:val="00E62B48"/>
    <w:rsid w:val="00E65E77"/>
    <w:rsid w:val="00E66F74"/>
    <w:rsid w:val="00E707FE"/>
    <w:rsid w:val="00E70833"/>
    <w:rsid w:val="00E71E87"/>
    <w:rsid w:val="00E736D1"/>
    <w:rsid w:val="00E73FA1"/>
    <w:rsid w:val="00E7445C"/>
    <w:rsid w:val="00E80D87"/>
    <w:rsid w:val="00E81BAB"/>
    <w:rsid w:val="00E822B8"/>
    <w:rsid w:val="00E82BBA"/>
    <w:rsid w:val="00E84C89"/>
    <w:rsid w:val="00E85C80"/>
    <w:rsid w:val="00E86749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14F7"/>
    <w:rsid w:val="00EB1E75"/>
    <w:rsid w:val="00EB760A"/>
    <w:rsid w:val="00EC1CD7"/>
    <w:rsid w:val="00EC39AF"/>
    <w:rsid w:val="00EC437A"/>
    <w:rsid w:val="00EC4A49"/>
    <w:rsid w:val="00EC544A"/>
    <w:rsid w:val="00ED0181"/>
    <w:rsid w:val="00ED0BA6"/>
    <w:rsid w:val="00ED158D"/>
    <w:rsid w:val="00ED21EF"/>
    <w:rsid w:val="00ED2E6F"/>
    <w:rsid w:val="00ED5E0D"/>
    <w:rsid w:val="00ED5F0C"/>
    <w:rsid w:val="00ED7BF6"/>
    <w:rsid w:val="00EE053C"/>
    <w:rsid w:val="00EE3E99"/>
    <w:rsid w:val="00EE4AD3"/>
    <w:rsid w:val="00EE5391"/>
    <w:rsid w:val="00EE7982"/>
    <w:rsid w:val="00EF1811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4BC4"/>
    <w:rsid w:val="00F06196"/>
    <w:rsid w:val="00F068B7"/>
    <w:rsid w:val="00F07431"/>
    <w:rsid w:val="00F1017F"/>
    <w:rsid w:val="00F1098E"/>
    <w:rsid w:val="00F11A9A"/>
    <w:rsid w:val="00F13F70"/>
    <w:rsid w:val="00F17298"/>
    <w:rsid w:val="00F211A4"/>
    <w:rsid w:val="00F24705"/>
    <w:rsid w:val="00F27F64"/>
    <w:rsid w:val="00F330E9"/>
    <w:rsid w:val="00F332C8"/>
    <w:rsid w:val="00F355CB"/>
    <w:rsid w:val="00F3637F"/>
    <w:rsid w:val="00F368AF"/>
    <w:rsid w:val="00F41CE9"/>
    <w:rsid w:val="00F44AD7"/>
    <w:rsid w:val="00F45B08"/>
    <w:rsid w:val="00F45BC5"/>
    <w:rsid w:val="00F468ED"/>
    <w:rsid w:val="00F472FE"/>
    <w:rsid w:val="00F47E44"/>
    <w:rsid w:val="00F47E72"/>
    <w:rsid w:val="00F47FB8"/>
    <w:rsid w:val="00F518F5"/>
    <w:rsid w:val="00F52C1E"/>
    <w:rsid w:val="00F52C9B"/>
    <w:rsid w:val="00F5455F"/>
    <w:rsid w:val="00F555F3"/>
    <w:rsid w:val="00F556D2"/>
    <w:rsid w:val="00F55843"/>
    <w:rsid w:val="00F569B9"/>
    <w:rsid w:val="00F57E1E"/>
    <w:rsid w:val="00F60804"/>
    <w:rsid w:val="00F61A25"/>
    <w:rsid w:val="00F61F33"/>
    <w:rsid w:val="00F65621"/>
    <w:rsid w:val="00F656A6"/>
    <w:rsid w:val="00F704DE"/>
    <w:rsid w:val="00F7545E"/>
    <w:rsid w:val="00F758A4"/>
    <w:rsid w:val="00F77186"/>
    <w:rsid w:val="00F774BC"/>
    <w:rsid w:val="00F778FF"/>
    <w:rsid w:val="00F807A9"/>
    <w:rsid w:val="00F82F14"/>
    <w:rsid w:val="00F830C2"/>
    <w:rsid w:val="00F901D6"/>
    <w:rsid w:val="00F90E00"/>
    <w:rsid w:val="00F92A4F"/>
    <w:rsid w:val="00F9335F"/>
    <w:rsid w:val="00F948A7"/>
    <w:rsid w:val="00F95A7B"/>
    <w:rsid w:val="00F95E3A"/>
    <w:rsid w:val="00F96BD9"/>
    <w:rsid w:val="00FA15C4"/>
    <w:rsid w:val="00FA7532"/>
    <w:rsid w:val="00FA79DC"/>
    <w:rsid w:val="00FA7FB2"/>
    <w:rsid w:val="00FB50DC"/>
    <w:rsid w:val="00FB5D51"/>
    <w:rsid w:val="00FB6A74"/>
    <w:rsid w:val="00FC04A7"/>
    <w:rsid w:val="00FC04D5"/>
    <w:rsid w:val="00FC0F6E"/>
    <w:rsid w:val="00FC3745"/>
    <w:rsid w:val="00FC4377"/>
    <w:rsid w:val="00FC5823"/>
    <w:rsid w:val="00FC626B"/>
    <w:rsid w:val="00FD1101"/>
    <w:rsid w:val="00FD262F"/>
    <w:rsid w:val="00FD47F8"/>
    <w:rsid w:val="00FD4EB6"/>
    <w:rsid w:val="00FD54DE"/>
    <w:rsid w:val="00FE2DC8"/>
    <w:rsid w:val="00FE3126"/>
    <w:rsid w:val="00FE50B4"/>
    <w:rsid w:val="00FE526D"/>
    <w:rsid w:val="00FE7BC4"/>
    <w:rsid w:val="00FF08A6"/>
    <w:rsid w:val="00FF1270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1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EE5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1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96E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6EE5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396EE5"/>
  </w:style>
  <w:style w:type="paragraph" w:styleId="aa">
    <w:name w:val="footer"/>
    <w:basedOn w:val="a"/>
    <w:link w:val="ab"/>
    <w:uiPriority w:val="99"/>
    <w:unhideWhenUsed/>
    <w:rsid w:val="00396EE5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396EE5"/>
  </w:style>
  <w:style w:type="paragraph" w:styleId="ac">
    <w:name w:val="TOC Heading"/>
    <w:basedOn w:val="1"/>
    <w:next w:val="a"/>
    <w:uiPriority w:val="39"/>
    <w:unhideWhenUsed/>
    <w:qFormat/>
    <w:rsid w:val="00396EE5"/>
    <w:pPr>
      <w:widowControl/>
      <w:autoSpaceDE/>
      <w:autoSpaceDN/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96EE5"/>
    <w:pPr>
      <w:widowControl/>
      <w:autoSpaceDE/>
      <w:autoSpaceDN/>
      <w:spacing w:after="1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59"/>
    <w:rsid w:val="00396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96EE5"/>
    <w:pPr>
      <w:widowControl/>
      <w:autoSpaceDE/>
      <w:autoSpaceDN/>
      <w:spacing w:after="8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396E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1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EE5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1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96E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6EE5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396EE5"/>
  </w:style>
  <w:style w:type="paragraph" w:styleId="aa">
    <w:name w:val="footer"/>
    <w:basedOn w:val="a"/>
    <w:link w:val="ab"/>
    <w:uiPriority w:val="99"/>
    <w:unhideWhenUsed/>
    <w:rsid w:val="00396EE5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396EE5"/>
  </w:style>
  <w:style w:type="paragraph" w:styleId="ac">
    <w:name w:val="TOC Heading"/>
    <w:basedOn w:val="1"/>
    <w:next w:val="a"/>
    <w:uiPriority w:val="39"/>
    <w:unhideWhenUsed/>
    <w:qFormat/>
    <w:rsid w:val="00396EE5"/>
    <w:pPr>
      <w:widowControl/>
      <w:autoSpaceDE/>
      <w:autoSpaceDN/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96EE5"/>
    <w:pPr>
      <w:widowControl/>
      <w:autoSpaceDE/>
      <w:autoSpaceDN/>
      <w:spacing w:after="1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59"/>
    <w:rsid w:val="00396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96EE5"/>
    <w:pPr>
      <w:widowControl/>
      <w:autoSpaceDE/>
      <w:autoSpaceDN/>
      <w:spacing w:after="8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396E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95</cp:revision>
  <cp:lastPrinted>2024-06-07T13:10:00Z</cp:lastPrinted>
  <dcterms:created xsi:type="dcterms:W3CDTF">2016-04-20T09:24:00Z</dcterms:created>
  <dcterms:modified xsi:type="dcterms:W3CDTF">2024-06-07T13:11:00Z</dcterms:modified>
</cp:coreProperties>
</file>