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Pr="006B3D0A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Pr="006B3D0A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6B3D0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B3D0A" w:rsidRDefault="00631E2C" w:rsidP="006B3D0A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655631">
        <w:rPr>
          <w:sz w:val="28"/>
          <w:szCs w:val="28"/>
        </w:rPr>
        <w:t>07</w:t>
      </w:r>
      <w:r w:rsidR="00B660ED">
        <w:rPr>
          <w:sz w:val="28"/>
          <w:szCs w:val="28"/>
        </w:rPr>
        <w:t>.</w:t>
      </w:r>
      <w:r w:rsidR="007B53C9">
        <w:rPr>
          <w:sz w:val="28"/>
          <w:szCs w:val="28"/>
        </w:rPr>
        <w:t>1</w:t>
      </w:r>
      <w:r w:rsidR="00655631">
        <w:rPr>
          <w:sz w:val="28"/>
          <w:szCs w:val="28"/>
        </w:rPr>
        <w:t>1</w:t>
      </w:r>
      <w:r w:rsidR="00B660ED">
        <w:rPr>
          <w:sz w:val="28"/>
          <w:szCs w:val="28"/>
        </w:rPr>
        <w:t>.20</w:t>
      </w:r>
      <w:r w:rsidR="00655631">
        <w:rPr>
          <w:sz w:val="28"/>
          <w:szCs w:val="28"/>
        </w:rPr>
        <w:t>22</w:t>
      </w:r>
      <w:r w:rsidR="00B660ED">
        <w:rPr>
          <w:sz w:val="28"/>
          <w:szCs w:val="28"/>
        </w:rPr>
        <w:t xml:space="preserve"> № </w:t>
      </w:r>
      <w:r w:rsidR="00655631">
        <w:rPr>
          <w:sz w:val="28"/>
          <w:szCs w:val="28"/>
        </w:rPr>
        <w:t>54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655631" w:rsidRPr="004442AF">
        <w:rPr>
          <w:sz w:val="28"/>
          <w:szCs w:val="28"/>
        </w:rPr>
        <w:t xml:space="preserve">Об утверждении границ территории объекта </w:t>
      </w:r>
      <w:r w:rsidR="00655631" w:rsidRPr="004442AF">
        <w:rPr>
          <w:color w:val="000000"/>
          <w:sz w:val="28"/>
          <w:szCs w:val="28"/>
        </w:rPr>
        <w:t xml:space="preserve">культурного наследия </w:t>
      </w:r>
      <w:r w:rsidR="00655631" w:rsidRPr="004442AF">
        <w:rPr>
          <w:sz w:val="28"/>
          <w:szCs w:val="28"/>
        </w:rPr>
        <w:t>местного (муниципального) значения «</w:t>
      </w:r>
      <w:proofErr w:type="spellStart"/>
      <w:r w:rsidR="00655631" w:rsidRPr="004442AF">
        <w:rPr>
          <w:sz w:val="28"/>
          <w:szCs w:val="28"/>
        </w:rPr>
        <w:t>Кокуй</w:t>
      </w:r>
      <w:proofErr w:type="spellEnd"/>
      <w:r w:rsidR="00655631" w:rsidRPr="004442AF">
        <w:rPr>
          <w:sz w:val="28"/>
          <w:szCs w:val="28"/>
        </w:rPr>
        <w:t xml:space="preserve"> и Покровская ул</w:t>
      </w:r>
      <w:r w:rsidR="00655631">
        <w:rPr>
          <w:sz w:val="28"/>
          <w:szCs w:val="28"/>
        </w:rPr>
        <w:t>ицы» (Ивановская область, г. </w:t>
      </w:r>
      <w:r w:rsidR="00655631" w:rsidRPr="004442AF">
        <w:rPr>
          <w:sz w:val="28"/>
          <w:szCs w:val="28"/>
        </w:rPr>
        <w:t>Иваново, 10 Августа ул., 5, 7, 13, 13а, 17, 19, 21, 23, 29, 31, 31а, 33, 35, 37, 37а, 39, 41, 41а лит.</w:t>
      </w:r>
      <w:proofErr w:type="gramEnd"/>
      <w:r w:rsidR="00655631" w:rsidRPr="004442AF">
        <w:rPr>
          <w:sz w:val="28"/>
          <w:szCs w:val="28"/>
        </w:rPr>
        <w:t xml:space="preserve"> </w:t>
      </w:r>
      <w:proofErr w:type="gramStart"/>
      <w:r w:rsidR="00655631" w:rsidRPr="004442AF">
        <w:rPr>
          <w:sz w:val="28"/>
          <w:szCs w:val="28"/>
        </w:rPr>
        <w:t>Г, 59, 61, 71/5, 73/12, 77, 77а, 79/21, 2/4, 6, 10, 12, 16, 18/17, 30, 32, 34</w:t>
      </w:r>
      <w:r w:rsidR="00655631" w:rsidRPr="004442AF">
        <w:rPr>
          <w:color w:val="000000"/>
          <w:sz w:val="28"/>
          <w:szCs w:val="28"/>
        </w:rPr>
        <w:t>)</w:t>
      </w:r>
      <w:r w:rsidR="00D433B7">
        <w:rPr>
          <w:sz w:val="28"/>
          <w:szCs w:val="28"/>
        </w:rPr>
        <w:t>»</w:t>
      </w:r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655631">
        <w:rPr>
          <w:sz w:val="28"/>
          <w:szCs w:val="28"/>
        </w:rPr>
        <w:t>от 07.11.2022 № 54-о</w:t>
      </w:r>
      <w:r w:rsidR="00053C3C">
        <w:rPr>
          <w:sz w:val="28"/>
          <w:szCs w:val="28"/>
        </w:rPr>
        <w:t xml:space="preserve"> </w:t>
      </w:r>
      <w:r w:rsidR="00D02FCF">
        <w:rPr>
          <w:sz w:val="28"/>
          <w:szCs w:val="28"/>
        </w:rPr>
        <w:t>«</w:t>
      </w:r>
      <w:r w:rsidR="00655631" w:rsidRPr="004442AF">
        <w:rPr>
          <w:sz w:val="28"/>
          <w:szCs w:val="28"/>
        </w:rPr>
        <w:t xml:space="preserve">Об утверждении границ территории объекта </w:t>
      </w:r>
      <w:r w:rsidR="00655631" w:rsidRPr="004442AF">
        <w:rPr>
          <w:color w:val="000000"/>
          <w:sz w:val="28"/>
          <w:szCs w:val="28"/>
        </w:rPr>
        <w:t xml:space="preserve">культурного наследия </w:t>
      </w:r>
      <w:r w:rsidR="00655631" w:rsidRPr="004442AF">
        <w:rPr>
          <w:sz w:val="28"/>
          <w:szCs w:val="28"/>
        </w:rPr>
        <w:t>местного (муниципального) значения «</w:t>
      </w:r>
      <w:proofErr w:type="spellStart"/>
      <w:r w:rsidR="00655631" w:rsidRPr="004442AF">
        <w:rPr>
          <w:sz w:val="28"/>
          <w:szCs w:val="28"/>
        </w:rPr>
        <w:t>Кокуй</w:t>
      </w:r>
      <w:proofErr w:type="spellEnd"/>
      <w:r w:rsidR="00655631" w:rsidRPr="004442AF">
        <w:rPr>
          <w:sz w:val="28"/>
          <w:szCs w:val="28"/>
        </w:rPr>
        <w:t xml:space="preserve"> и Покровская улицы» (Ивановская область, г. Иваново, 10 Августа ул., 5, 7, 13, 13а, 17, 19, 21, 23, 29, 31, 31а, 33, 35, 37, 37а, 39, 41, 41а лит.</w:t>
      </w:r>
      <w:proofErr w:type="gramEnd"/>
      <w:r w:rsidR="00655631" w:rsidRPr="004442AF">
        <w:rPr>
          <w:sz w:val="28"/>
          <w:szCs w:val="28"/>
        </w:rPr>
        <w:t xml:space="preserve"> </w:t>
      </w:r>
      <w:proofErr w:type="gramStart"/>
      <w:r w:rsidR="00655631" w:rsidRPr="004442AF">
        <w:rPr>
          <w:sz w:val="28"/>
          <w:szCs w:val="28"/>
        </w:rPr>
        <w:t>Г, 59, 61, 71/5, 73/12, 77, 77а, 79/21, 2/4, 6, 10, 12, 16, 18/17, 30, 32, 34</w:t>
      </w:r>
      <w:r w:rsidR="00655631" w:rsidRPr="004442AF">
        <w:rPr>
          <w:color w:val="000000"/>
          <w:sz w:val="28"/>
          <w:szCs w:val="28"/>
        </w:rPr>
        <w:t>)</w:t>
      </w:r>
      <w:r w:rsidR="00D02FCF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74478B" w:rsidRPr="00655631" w:rsidRDefault="003F2178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3DB">
        <w:rPr>
          <w:sz w:val="28"/>
          <w:szCs w:val="28"/>
        </w:rPr>
        <w:lastRenderedPageBreak/>
        <w:t xml:space="preserve">1.1. </w:t>
      </w:r>
      <w:r w:rsidR="00053C3C" w:rsidRPr="00AC56D5">
        <w:rPr>
          <w:sz w:val="28"/>
          <w:szCs w:val="28"/>
        </w:rPr>
        <w:t>В наименовании приказа, в пункт</w:t>
      </w:r>
      <w:r w:rsidR="00655631">
        <w:rPr>
          <w:sz w:val="28"/>
          <w:szCs w:val="28"/>
        </w:rPr>
        <w:t>е</w:t>
      </w:r>
      <w:r w:rsidR="00053C3C" w:rsidRPr="00AC56D5">
        <w:rPr>
          <w:sz w:val="28"/>
          <w:szCs w:val="28"/>
        </w:rPr>
        <w:t xml:space="preserve"> 1</w:t>
      </w:r>
      <w:r w:rsidR="006B3D0A">
        <w:rPr>
          <w:sz w:val="28"/>
          <w:szCs w:val="28"/>
        </w:rPr>
        <w:t xml:space="preserve"> </w:t>
      </w:r>
      <w:r w:rsidR="00053C3C" w:rsidRPr="00AC56D5">
        <w:rPr>
          <w:sz w:val="28"/>
          <w:szCs w:val="28"/>
        </w:rPr>
        <w:t>приказа</w:t>
      </w:r>
      <w:r w:rsidR="006B3D0A">
        <w:rPr>
          <w:sz w:val="28"/>
          <w:szCs w:val="28"/>
        </w:rPr>
        <w:t>, в наименованиях разделов приложени</w:t>
      </w:r>
      <w:r w:rsidR="00DF26DE">
        <w:rPr>
          <w:sz w:val="28"/>
          <w:szCs w:val="28"/>
        </w:rPr>
        <w:t>я</w:t>
      </w:r>
      <w:r w:rsidR="006B3D0A">
        <w:rPr>
          <w:sz w:val="28"/>
          <w:szCs w:val="28"/>
        </w:rPr>
        <w:t xml:space="preserve"> к приказу</w:t>
      </w:r>
      <w:r w:rsidR="00053C3C" w:rsidRPr="00AC56D5">
        <w:rPr>
          <w:sz w:val="28"/>
          <w:szCs w:val="28"/>
        </w:rPr>
        <w:t xml:space="preserve"> </w:t>
      </w:r>
      <w:r w:rsidR="006B3D0A">
        <w:rPr>
          <w:sz w:val="28"/>
          <w:szCs w:val="28"/>
        </w:rPr>
        <w:t xml:space="preserve">слова </w:t>
      </w:r>
      <w:r w:rsidR="00DF26DE" w:rsidRPr="00691852">
        <w:rPr>
          <w:sz w:val="28"/>
          <w:szCs w:val="28"/>
        </w:rPr>
        <w:t>«</w:t>
      </w:r>
      <w:proofErr w:type="spellStart"/>
      <w:r w:rsidR="00655631" w:rsidRPr="004442AF">
        <w:rPr>
          <w:sz w:val="28"/>
          <w:szCs w:val="28"/>
        </w:rPr>
        <w:t>Кокуй</w:t>
      </w:r>
      <w:proofErr w:type="spellEnd"/>
      <w:r w:rsidR="00655631" w:rsidRPr="004442AF">
        <w:rPr>
          <w:sz w:val="28"/>
          <w:szCs w:val="28"/>
        </w:rPr>
        <w:t xml:space="preserve"> и Покровская улицы»</w:t>
      </w:r>
      <w:r w:rsidR="006B3D0A">
        <w:rPr>
          <w:sz w:val="28"/>
          <w:szCs w:val="28"/>
        </w:rPr>
        <w:t xml:space="preserve"> </w:t>
      </w:r>
      <w:r w:rsidR="006B3D0A" w:rsidRPr="00655631">
        <w:rPr>
          <w:sz w:val="28"/>
          <w:szCs w:val="28"/>
        </w:rPr>
        <w:t xml:space="preserve">заменить словами </w:t>
      </w:r>
      <w:r w:rsidR="00DF26DE" w:rsidRPr="00655631">
        <w:rPr>
          <w:sz w:val="28"/>
          <w:szCs w:val="28"/>
        </w:rPr>
        <w:t>«</w:t>
      </w:r>
      <w:proofErr w:type="spellStart"/>
      <w:r w:rsidR="00655631" w:rsidRPr="00655631">
        <w:rPr>
          <w:rFonts w:eastAsia="Calibri"/>
          <w:bCs/>
          <w:sz w:val="28"/>
          <w:szCs w:val="28"/>
          <w:lang w:eastAsia="ru-RU"/>
        </w:rPr>
        <w:t>Кокуй</w:t>
      </w:r>
      <w:proofErr w:type="spellEnd"/>
      <w:r w:rsidR="00655631" w:rsidRPr="00655631">
        <w:rPr>
          <w:rFonts w:eastAsia="Calibri"/>
          <w:bCs/>
          <w:sz w:val="28"/>
          <w:szCs w:val="28"/>
          <w:lang w:eastAsia="ru-RU"/>
        </w:rPr>
        <w:t xml:space="preserve"> и Покровская улицы», XIX – начало XX века</w:t>
      </w:r>
      <w:r w:rsidR="00DF26DE" w:rsidRPr="00655631">
        <w:rPr>
          <w:sz w:val="28"/>
          <w:szCs w:val="28"/>
        </w:rPr>
        <w:t>»</w:t>
      </w:r>
      <w:r w:rsidR="0074478B" w:rsidRPr="00655631">
        <w:rPr>
          <w:sz w:val="28"/>
          <w:szCs w:val="28"/>
        </w:rPr>
        <w:t>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CF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="00655631">
        <w:rPr>
          <w:sz w:val="28"/>
          <w:szCs w:val="28"/>
        </w:rPr>
        <w:t>2</w:t>
      </w:r>
      <w:r>
        <w:rPr>
          <w:sz w:val="28"/>
          <w:szCs w:val="28"/>
        </w:rPr>
        <w:t xml:space="preserve">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8C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655631" w:rsidRPr="004442AF">
        <w:rPr>
          <w:sz w:val="28"/>
          <w:szCs w:val="28"/>
        </w:rPr>
        <w:t>характерных (поворотных) точек границы территории объекта культурного наследия местного (муниципального) значения «</w:t>
      </w:r>
      <w:proofErr w:type="spellStart"/>
      <w:r w:rsidR="00655631" w:rsidRPr="004442AF">
        <w:rPr>
          <w:sz w:val="28"/>
          <w:szCs w:val="28"/>
        </w:rPr>
        <w:t>Кокуй</w:t>
      </w:r>
      <w:proofErr w:type="spellEnd"/>
      <w:r w:rsidR="00655631" w:rsidRPr="004442AF">
        <w:rPr>
          <w:sz w:val="28"/>
          <w:szCs w:val="28"/>
        </w:rPr>
        <w:t xml:space="preserve"> и Покровская улицы» (Ивановская область, г. Иваново, 10 Августа ул., 5, 7, 13, 13а, 17, 19, 21, 23, 29, 31, 31а, 33, 35, 37, 37а, 39, 41, 41а лит.</w:t>
      </w:r>
      <w:proofErr w:type="gramEnd"/>
      <w:r w:rsidR="00655631" w:rsidRPr="004442AF">
        <w:rPr>
          <w:sz w:val="28"/>
          <w:szCs w:val="28"/>
        </w:rPr>
        <w:t xml:space="preserve"> </w:t>
      </w:r>
      <w:proofErr w:type="gramStart"/>
      <w:r w:rsidR="00655631" w:rsidRPr="004442AF">
        <w:rPr>
          <w:sz w:val="28"/>
          <w:szCs w:val="28"/>
        </w:rPr>
        <w:t>Г, 59, 61, 71/5, 73/12, 77, 77а, 79/21, 2/4, 6, 10, 12, 16, 18/17, 30, 32, 34</w:t>
      </w:r>
      <w:r w:rsidR="00655631" w:rsidRPr="004442AF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» приложения</w:t>
      </w:r>
      <w:r w:rsidR="00C178CF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 изложить в новой редакции согласно приложению к настоящему приказу.</w:t>
      </w:r>
      <w:proofErr w:type="gramEnd"/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C178CF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</w:p>
    <w:p w:rsidR="00501613" w:rsidRPr="00C178CF" w:rsidRDefault="00501613" w:rsidP="00501613">
      <w:pPr>
        <w:ind w:firstLine="708"/>
        <w:jc w:val="right"/>
        <w:rPr>
          <w:sz w:val="16"/>
          <w:szCs w:val="16"/>
        </w:rPr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655631" w:rsidP="00486D71">
      <w:pPr>
        <w:jc w:val="center"/>
        <w:rPr>
          <w:sz w:val="28"/>
          <w:szCs w:val="28"/>
        </w:rPr>
      </w:pPr>
      <w:proofErr w:type="gramStart"/>
      <w:r w:rsidRPr="004442AF">
        <w:rPr>
          <w:sz w:val="28"/>
          <w:szCs w:val="28"/>
        </w:rPr>
        <w:t xml:space="preserve">характерных (поворотных) точек границы территории объекта культурного наследия местного (муниципального) значения </w:t>
      </w:r>
      <w:r w:rsidRPr="00655631">
        <w:rPr>
          <w:sz w:val="28"/>
          <w:szCs w:val="28"/>
        </w:rPr>
        <w:t>«</w:t>
      </w:r>
      <w:proofErr w:type="spellStart"/>
      <w:r w:rsidRPr="00655631">
        <w:rPr>
          <w:rFonts w:eastAsia="Calibri"/>
          <w:bCs/>
          <w:sz w:val="28"/>
          <w:szCs w:val="28"/>
          <w:lang w:eastAsia="ru-RU"/>
        </w:rPr>
        <w:t>Кокуй</w:t>
      </w:r>
      <w:proofErr w:type="spellEnd"/>
      <w:r w:rsidRPr="00655631">
        <w:rPr>
          <w:rFonts w:eastAsia="Calibri"/>
          <w:bCs/>
          <w:sz w:val="28"/>
          <w:szCs w:val="28"/>
          <w:lang w:eastAsia="ru-RU"/>
        </w:rPr>
        <w:t xml:space="preserve"> и Покровская улицы», XIX – начало XX века</w:t>
      </w:r>
      <w:r w:rsidRPr="004442AF">
        <w:rPr>
          <w:sz w:val="28"/>
          <w:szCs w:val="28"/>
        </w:rPr>
        <w:t xml:space="preserve"> (Ивановская область, г. Иваново, 10 Августа ул., 5, 7, 13, 13а, 17, 19, 21, 23, 29, 31, 31а, 33, 35, 37, 37а, 39, 41, 41а лит.</w:t>
      </w:r>
      <w:proofErr w:type="gramEnd"/>
      <w:r w:rsidRPr="004442AF">
        <w:rPr>
          <w:sz w:val="28"/>
          <w:szCs w:val="28"/>
        </w:rPr>
        <w:t xml:space="preserve"> </w:t>
      </w:r>
      <w:proofErr w:type="gramStart"/>
      <w:r w:rsidRPr="004442AF">
        <w:rPr>
          <w:sz w:val="28"/>
          <w:szCs w:val="28"/>
        </w:rPr>
        <w:t>Г, 59, 61, 71/5, 73/12, 77, 77а, 79/21, 2/4, 6, 10, 12, 16, 18/17, 30, 32, 34</w:t>
      </w:r>
      <w:r w:rsidRPr="004442AF">
        <w:rPr>
          <w:color w:val="000000"/>
          <w:sz w:val="28"/>
          <w:szCs w:val="28"/>
        </w:rPr>
        <w:t>)</w:t>
      </w:r>
      <w:proofErr w:type="gramEnd"/>
    </w:p>
    <w:p w:rsidR="00501613" w:rsidRPr="00C178CF" w:rsidRDefault="00501613" w:rsidP="0017243C">
      <w:pPr>
        <w:spacing w:line="18" w:lineRule="atLeast"/>
        <w:contextualSpacing/>
        <w:jc w:val="center"/>
        <w:rPr>
          <w:sz w:val="16"/>
          <w:szCs w:val="16"/>
        </w:rPr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C178CF" w:rsidRDefault="00501613" w:rsidP="0017243C">
      <w:pPr>
        <w:spacing w:line="18" w:lineRule="atLeast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837"/>
        <w:gridCol w:w="3924"/>
      </w:tblGrid>
      <w:tr w:rsidR="00655631" w:rsidRPr="005E3BEB" w:rsidTr="00655631">
        <w:trPr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</w:t>
            </w:r>
            <w:r w:rsidRPr="005E3BEB">
              <w:rPr>
                <w:sz w:val="28"/>
                <w:szCs w:val="28"/>
              </w:rPr>
              <w:t>о</w:t>
            </w:r>
            <w:r w:rsidRPr="005E3BEB">
              <w:rPr>
                <w:sz w:val="28"/>
                <w:szCs w:val="28"/>
              </w:rPr>
              <w:t>ротной то</w:t>
            </w:r>
            <w:r w:rsidRPr="005E3BEB">
              <w:rPr>
                <w:sz w:val="28"/>
                <w:szCs w:val="28"/>
              </w:rPr>
              <w:t>ч</w:t>
            </w:r>
            <w:r w:rsidRPr="005E3BEB">
              <w:rPr>
                <w:sz w:val="28"/>
                <w:szCs w:val="28"/>
              </w:rPr>
              <w:t>ки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1" w:rsidRPr="005E3BEB" w:rsidRDefault="00655631" w:rsidP="00655631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Y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2215300.26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305342.68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2215319.30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305329.91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2215385.74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305290.97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2215390.51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305291.3</w:t>
            </w:r>
            <w:r w:rsidR="002E2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2215405.52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305294.81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2215428.81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305270.09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2215434.39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305264.16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2215436.70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305261.71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2215443.95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305252.87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2215480.27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305212.56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2215486.11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305207.67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2215484.40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305206.35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2215493.10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305198.98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2215498.63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305191.82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2215504.96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305184.08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2215498.77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305179.01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2215508.47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305153.28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2215510.16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305155.18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2215516.18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305157.89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9340FD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2215540.09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305119.3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2215544.99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305063.47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2215587.73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305064.2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2215591.05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305061.03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2215592.68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305062.73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2215608.44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305046.23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2215596.88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305035.18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2215604.74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305029.05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2215615.15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305018.76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2215601.79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305004.56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2215607.35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304998.81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2215612.84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304993.83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2215636.31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305000.72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2215642.95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304994.86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2215645.60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304997.86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2215651.80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304992.39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2215640.54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304979.64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2215657.30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304970.04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2215654.75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304965.2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2215650.05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304958.22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2215650.88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304957.57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2215672.22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304945.99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2215688.12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304937.43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2215686.21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304932.83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2215704.58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304921.29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2215708.39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304927.59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2215712.44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304925.55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2215714.31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304924.58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2215725.02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304919.07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2215733.51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304914.71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2215745.23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304935.38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2215751.72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304931.87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2215761.26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304926.76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2215762 30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304926.41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2215785.66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304919.25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2215797.07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304945.77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2215802.16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304943.06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2215819.30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304933.47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2215827.34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304930.31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2215819.31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304909.34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2215820.04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304909.1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2215822.95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304887.45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2215821.96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304884.8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2215846.42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304875.44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2215846.64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304876.15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2215858.36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304873.39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2215859.14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304873.2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2215858.75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304871.69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2215862.85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304870.4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2215871.46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304867.69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2215921.40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304848.55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2215927.10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304812.44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2215935.64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304809.53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2215950.55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304822.48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2215953.87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304831.38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2215963.74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304827.53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2215976.95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304829.03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2215988.18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304825.82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2215987.38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304823.14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2215991.80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304821.83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2216012.58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304815.07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2216014.31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304820.18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2216022.64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304842.87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2216042.38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304834.83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2216055.19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304829.2</w:t>
            </w:r>
            <w:r w:rsidR="00666263" w:rsidRPr="00666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2216053.12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304824.48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2216058.13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304822.28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2216065.82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304799.31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2216089.10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304792.34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2216111.84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304785.75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2216125.68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304781.59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2216123.21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304772.18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2216131.02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304770.07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2216146.89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304765.77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2216146.02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304762.91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2216160.30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304759.22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2216159.56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304756.61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2216161.91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304755.96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2216160.77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304751.45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2216164.38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304750.39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2216163.59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304747.77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2216177.17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304743.69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2216186.71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304702.68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2215913.20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304800.36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2215877.75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304696.09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2215752.11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304741.81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2215600.53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304814.66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2215630.67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304927.76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2215526.51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305018.24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2215497.67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305042.27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2215459.99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305040.32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2215417.63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305092.72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2215409.12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305093.41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2215364.63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305150.62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2215365.94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305161.58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2215347.35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305185.13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2215315.89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305230.44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2215304.95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305242.39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2215268.25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305282.47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Default="00655631" w:rsidP="0065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Standard"/>
              <w:jc w:val="center"/>
              <w:rPr>
                <w:sz w:val="28"/>
                <w:szCs w:val="28"/>
              </w:rPr>
            </w:pPr>
            <w:r w:rsidRPr="00666263">
              <w:rPr>
                <w:sz w:val="28"/>
                <w:szCs w:val="28"/>
              </w:rPr>
              <w:t>2215300.26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666263" w:rsidRDefault="00655631" w:rsidP="00666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63">
              <w:rPr>
                <w:rFonts w:ascii="Times New Roman" w:hAnsi="Times New Roman" w:cs="Times New Roman"/>
                <w:sz w:val="28"/>
                <w:szCs w:val="28"/>
              </w:rPr>
              <w:t>305342.68</w:t>
            </w:r>
            <w:r w:rsidR="00666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655631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3C" w:rsidRDefault="0048733C" w:rsidP="00E85028">
      <w:r>
        <w:separator/>
      </w:r>
    </w:p>
  </w:endnote>
  <w:endnote w:type="continuationSeparator" w:id="0">
    <w:p w:rsidR="0048733C" w:rsidRDefault="0048733C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3C" w:rsidRDefault="0048733C" w:rsidP="00E85028">
      <w:r>
        <w:separator/>
      </w:r>
    </w:p>
  </w:footnote>
  <w:footnote w:type="continuationSeparator" w:id="0">
    <w:p w:rsidR="0048733C" w:rsidRDefault="0048733C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53C3C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2003"/>
    <w:rsid w:val="001B522C"/>
    <w:rsid w:val="001C0D3A"/>
    <w:rsid w:val="001C2CD3"/>
    <w:rsid w:val="001C6CEC"/>
    <w:rsid w:val="001C6CF4"/>
    <w:rsid w:val="001C7571"/>
    <w:rsid w:val="001D6009"/>
    <w:rsid w:val="001E6915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E20A4"/>
    <w:rsid w:val="002F61AF"/>
    <w:rsid w:val="002F7F0C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3F32CB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8733C"/>
    <w:rsid w:val="00493A89"/>
    <w:rsid w:val="00497177"/>
    <w:rsid w:val="004A76B5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06C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55631"/>
    <w:rsid w:val="00664342"/>
    <w:rsid w:val="00666263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3D0A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578D8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C9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04DE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57E8"/>
    <w:rsid w:val="00A66B40"/>
    <w:rsid w:val="00A670A2"/>
    <w:rsid w:val="00A723E8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178CF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92B0E"/>
    <w:rsid w:val="00CA3546"/>
    <w:rsid w:val="00CB3096"/>
    <w:rsid w:val="00CC4883"/>
    <w:rsid w:val="00CD7C06"/>
    <w:rsid w:val="00CE2516"/>
    <w:rsid w:val="00CF29E3"/>
    <w:rsid w:val="00D00B8A"/>
    <w:rsid w:val="00D00D65"/>
    <w:rsid w:val="00D02FCF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743ED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DF26DE"/>
    <w:rsid w:val="00E2391C"/>
    <w:rsid w:val="00E316F2"/>
    <w:rsid w:val="00E37484"/>
    <w:rsid w:val="00E42DCF"/>
    <w:rsid w:val="00E5109E"/>
    <w:rsid w:val="00E66878"/>
    <w:rsid w:val="00E677C5"/>
    <w:rsid w:val="00E67869"/>
    <w:rsid w:val="00E71B49"/>
    <w:rsid w:val="00E71CCE"/>
    <w:rsid w:val="00E723DB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7E3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4618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BCA7-B77F-45E2-896A-F3984B4A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52</cp:revision>
  <cp:lastPrinted>2024-04-27T08:48:00Z</cp:lastPrinted>
  <dcterms:created xsi:type="dcterms:W3CDTF">2023-08-18T08:53:00Z</dcterms:created>
  <dcterms:modified xsi:type="dcterms:W3CDTF">2024-04-27T08:53:00Z</dcterms:modified>
</cp:coreProperties>
</file>