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png" ContentType="image/png"/>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2"/>
          <w:szCs w:val="2"/>
          <w:shd w:fill="auto" w:val="clear"/>
        </w:rPr>
      </w:pPr>
      <w:r>
        <w:rPr>
          <w:sz w:val="2"/>
          <w:szCs w:val="2"/>
          <w:shd w:fill="auto" w:val="clear"/>
        </w:rPr>
        <mc:AlternateContent>
          <mc:Choice Requires="wps">
            <w:drawing>
              <wp:anchor behindDoc="0" distT="0" distB="0" distL="0" distR="0" simplePos="0" locked="0" layoutInCell="0" allowOverlap="1" relativeHeight="3">
                <wp:simplePos x="0" y="0"/>
                <wp:positionH relativeFrom="column">
                  <wp:posOffset>4308475</wp:posOffset>
                </wp:positionH>
                <wp:positionV relativeFrom="paragraph">
                  <wp:posOffset>-475615</wp:posOffset>
                </wp:positionV>
                <wp:extent cx="2178050" cy="1457960"/>
                <wp:effectExtent l="1270" t="1270" r="0" b="0"/>
                <wp:wrapNone/>
                <wp:docPr id="1" name="Фигура3"/>
                <a:graphic xmlns:a="http://schemas.openxmlformats.org/drawingml/2006/main">
                  <a:graphicData uri="http://schemas.microsoft.com/office/word/2010/wordprocessingShape">
                    <wps:wsp>
                      <wps:cNvSpPr/>
                      <wps:spPr>
                        <a:xfrm>
                          <a:off x="0" y="0"/>
                          <a:ext cx="2177280" cy="1457280"/>
                        </a:xfrm>
                        <a:prstGeom prst="rect">
                          <a:avLst/>
                        </a:prstGeom>
                        <a:noFill/>
                        <a:ln w="0">
                          <a:solidFill>
                            <a:srgbClr val="000000"/>
                          </a:solidFill>
                        </a:ln>
                      </wps:spPr>
                      <wps:style>
                        <a:lnRef idx="0"/>
                        <a:fillRef idx="0"/>
                        <a:effectRef idx="0"/>
                        <a:fontRef idx="minor"/>
                      </wps:style>
                      <wps:txbx>
                        <w:txbxContent>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lang w:eastAsia="en-US"/>
                              </w:rPr>
                              <w:t xml:space="preserve">Комитет Ивановской области </w:t>
                            </w:r>
                          </w:p>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lang w:eastAsia="en-US"/>
                              </w:rPr>
                              <w:t>по государственной охране объектов</w:t>
                            </w:r>
                            <w:r>
                              <w:rPr>
                                <w:rFonts w:eastAsia="Calibri" w:ascii="Tinos" w:hAnsi="Tinos"/>
                                <w:color w:val="000000"/>
                                <w:u w:val="single"/>
                                <w:lang w:eastAsia="en-US"/>
                              </w:rPr>
                              <w:t xml:space="preserve"> </w:t>
                            </w:r>
                            <w:r>
                              <w:rPr>
                                <w:rFonts w:eastAsia="Calibri" w:ascii="Tinos" w:hAnsi="Tinos"/>
                                <w:color w:val="000000"/>
                                <w:lang w:eastAsia="en-US"/>
                              </w:rPr>
                              <w:t>культурного наследия</w:t>
                            </w:r>
                          </w:p>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sz w:val="4"/>
                                <w:szCs w:val="4"/>
                                <w:u w:val="single"/>
                                <w:lang w:eastAsia="en-US"/>
                              </w:rPr>
                              <w:t>_____________________________________________________________________________________________________________________________________________________</w:t>
                            </w:r>
                          </w:p>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sz w:val="16"/>
                                <w:szCs w:val="16"/>
                                <w:lang w:eastAsia="en-US"/>
                              </w:rPr>
                              <w:t>(наименование исполнительного органа государственной власти Ивановской области)</w:t>
                            </w:r>
                          </w:p>
                          <w:p>
                            <w:pPr>
                              <w:pStyle w:val="Style31"/>
                              <w:tabs>
                                <w:tab w:val="clear" w:pos="720"/>
                                <w:tab w:val="left" w:pos="1226" w:leader="none"/>
                                <w:tab w:val="left" w:pos="1560" w:leader="none"/>
                              </w:tabs>
                              <w:overflowPunct w:val="false"/>
                              <w:jc w:val="center"/>
                              <w:rPr>
                                <w:sz w:val="8"/>
                                <w:szCs w:val="8"/>
                              </w:rPr>
                            </w:pPr>
                            <w:r>
                              <w:rPr>
                                <w:sz w:val="8"/>
                                <w:szCs w:val="8"/>
                              </w:rPr>
                            </w:r>
                          </w:p>
                          <w:p>
                            <w:pPr>
                              <w:pStyle w:val="Style31"/>
                              <w:tabs>
                                <w:tab w:val="clear" w:pos="720"/>
                                <w:tab w:val="left" w:pos="1226" w:leader="none"/>
                                <w:tab w:val="left" w:pos="1560" w:leader="none"/>
                              </w:tabs>
                              <w:overflowPunct w:val="false"/>
                              <w:jc w:val="center"/>
                              <w:rPr>
                                <w:color w:val="000000"/>
                              </w:rPr>
                            </w:pPr>
                            <w:r>
                              <w:rPr>
                                <w:rFonts w:eastAsia="Calibri" w:ascii="Tinos" w:hAnsi="Tinos"/>
                                <w:b/>
                                <w:bCs/>
                                <w:color w:val="000000"/>
                                <w:lang w:eastAsia="en-US"/>
                              </w:rPr>
                              <w:t>ЗАРЕГИСТРИРОВАНО</w:t>
                            </w:r>
                          </w:p>
                          <w:p>
                            <w:pPr>
                              <w:pStyle w:val="Style31"/>
                              <w:tabs>
                                <w:tab w:val="clear" w:pos="720"/>
                                <w:tab w:val="left" w:pos="1226" w:leader="none"/>
                                <w:tab w:val="left" w:pos="1560" w:leader="none"/>
                              </w:tabs>
                              <w:overflowPunct w:val="false"/>
                              <w:jc w:val="center"/>
                              <w:rPr>
                                <w:sz w:val="8"/>
                                <w:szCs w:val="8"/>
                              </w:rPr>
                            </w:pPr>
                            <w:r>
                              <w:rPr>
                                <w:sz w:val="8"/>
                                <w:szCs w:val="8"/>
                              </w:rPr>
                            </w:r>
                          </w:p>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lang w:eastAsia="en-US"/>
                              </w:rPr>
                              <w:t>«</w:t>
                            </w:r>
                            <w:r>
                              <w:rPr>
                                <w:rFonts w:eastAsia="Calibri" w:cs="Times New Roman" w:ascii="Tinos" w:hAnsi="Tinos"/>
                                <w:color w:val="000000"/>
                                <w:kern w:val="0"/>
                                <w:sz w:val="20"/>
                                <w:szCs w:val="20"/>
                                <w:u w:val="single"/>
                                <w:lang w:val="ru-RU" w:eastAsia="en-US" w:bidi="ar-SA"/>
                              </w:rPr>
                              <w:t>____</w:t>
                            </w:r>
                            <w:r>
                              <w:rPr>
                                <w:rFonts w:eastAsia="Calibri" w:ascii="Tinos" w:hAnsi="Tinos"/>
                                <w:color w:val="000000"/>
                                <w:lang w:eastAsia="en-US"/>
                              </w:rPr>
                              <w:t>»</w:t>
                            </w:r>
                            <w:r>
                              <w:rPr>
                                <w:rFonts w:eastAsia="Calibri" w:ascii="Tinos" w:hAnsi="Tinos"/>
                                <w:color w:val="000000"/>
                                <w:u w:val="single"/>
                                <w:lang w:eastAsia="en-US"/>
                              </w:rPr>
                              <w:t xml:space="preserve"> ________</w:t>
                            </w:r>
                            <w:r>
                              <w:rPr>
                                <w:rFonts w:eastAsia="Calibri" w:ascii="Tinos" w:hAnsi="Tinos"/>
                                <w:color w:val="000000"/>
                                <w:lang w:eastAsia="en-US"/>
                              </w:rPr>
                              <w:t>20</w:t>
                            </w:r>
                            <w:r>
                              <w:rPr>
                                <w:rFonts w:eastAsia="Calibri" w:cs="Times New Roman" w:ascii="Tinos" w:hAnsi="Tinos"/>
                                <w:color w:val="000000"/>
                                <w:kern w:val="0"/>
                                <w:sz w:val="20"/>
                                <w:szCs w:val="20"/>
                                <w:u w:val="single"/>
                                <w:lang w:val="ru-RU" w:eastAsia="en-US" w:bidi="ar-SA"/>
                              </w:rPr>
                              <w:t>2_</w:t>
                            </w:r>
                            <w:r>
                              <w:rPr>
                                <w:rFonts w:eastAsia="Calibri" w:ascii="Tinos" w:hAnsi="Tinos"/>
                                <w:color w:val="000000"/>
                                <w:lang w:eastAsia="en-US"/>
                              </w:rPr>
                              <w:t>г.</w:t>
                            </w:r>
                          </w:p>
                          <w:p>
                            <w:pPr>
                              <w:pStyle w:val="Style31"/>
                              <w:tabs>
                                <w:tab w:val="clear" w:pos="720"/>
                                <w:tab w:val="left" w:pos="1226" w:leader="none"/>
                                <w:tab w:val="left" w:pos="1560" w:leader="none"/>
                              </w:tabs>
                              <w:overflowPunct w:val="false"/>
                              <w:jc w:val="center"/>
                              <w:rPr>
                                <w:color w:val="000000"/>
                              </w:rPr>
                            </w:pPr>
                            <w:r>
                              <w:rPr>
                                <w:color w:val="000000"/>
                              </w:rPr>
                            </w:r>
                          </w:p>
                          <w:p>
                            <w:pPr>
                              <w:pStyle w:val="Style31"/>
                              <w:tabs>
                                <w:tab w:val="clear" w:pos="720"/>
                                <w:tab w:val="left" w:pos="1226" w:leader="none"/>
                                <w:tab w:val="left" w:pos="1560" w:leader="none"/>
                              </w:tabs>
                              <w:overflowPunct w:val="false"/>
                              <w:jc w:val="center"/>
                              <w:rPr>
                                <w:color w:val="000000"/>
                              </w:rPr>
                            </w:pPr>
                            <w:bookmarkStart w:id="0" w:name="_GoBack"/>
                            <w:r>
                              <w:rPr>
                                <w:rFonts w:eastAsia="Calibri" w:ascii="Tinos" w:hAnsi="Tinos"/>
                                <w:color w:val="000000"/>
                                <w:lang w:eastAsia="en-US"/>
                              </w:rPr>
                              <w:t xml:space="preserve">Регистрационный № </w:t>
                            </w:r>
                            <w:bookmarkEnd w:id="0"/>
                            <w:r>
                              <w:rPr>
                                <w:rFonts w:eastAsia="Calibri" w:cs="Times New Roman" w:ascii="Tinos" w:hAnsi="Tinos"/>
                                <w:color w:val="000000"/>
                                <w:kern w:val="0"/>
                                <w:sz w:val="20"/>
                                <w:szCs w:val="20"/>
                                <w:u w:val="single"/>
                                <w:lang w:val="ru-RU" w:eastAsia="en-US" w:bidi="ar-SA"/>
                              </w:rPr>
                              <w:t>___________</w:t>
                            </w:r>
                          </w:p>
                        </w:txbxContent>
                      </wps:txbx>
                      <wps:bodyPr lIns="0" rIns="0" tIns="0" bIns="0">
                        <a:noAutofit/>
                      </wps:bodyPr>
                    </wps:wsp>
                  </a:graphicData>
                </a:graphic>
              </wp:anchor>
            </w:drawing>
          </mc:Choice>
          <mc:Fallback>
            <w:pict>
              <v:rect id="shape_0" ID="Фигура3" stroked="t" style="position:absolute;margin-left:339.25pt;margin-top:-37.45pt;width:171.4pt;height:114.7pt;mso-wrap-style:square;v-text-anchor:top">
                <v:fill o:detectmouseclick="t" on="false"/>
                <v:stroke color="black" joinstyle="round" endcap="flat"/>
                <v:textbox>
                  <w:txbxContent>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lang w:eastAsia="en-US"/>
                        </w:rPr>
                        <w:t xml:space="preserve">Комитет Ивановской области </w:t>
                      </w:r>
                    </w:p>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lang w:eastAsia="en-US"/>
                        </w:rPr>
                        <w:t>по государственной охране объектов</w:t>
                      </w:r>
                      <w:r>
                        <w:rPr>
                          <w:rFonts w:eastAsia="Calibri" w:ascii="Tinos" w:hAnsi="Tinos"/>
                          <w:color w:val="000000"/>
                          <w:u w:val="single"/>
                          <w:lang w:eastAsia="en-US"/>
                        </w:rPr>
                        <w:t xml:space="preserve"> </w:t>
                      </w:r>
                      <w:r>
                        <w:rPr>
                          <w:rFonts w:eastAsia="Calibri" w:ascii="Tinos" w:hAnsi="Tinos"/>
                          <w:color w:val="000000"/>
                          <w:lang w:eastAsia="en-US"/>
                        </w:rPr>
                        <w:t>культурного наследия</w:t>
                      </w:r>
                    </w:p>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sz w:val="4"/>
                          <w:szCs w:val="4"/>
                          <w:u w:val="single"/>
                          <w:lang w:eastAsia="en-US"/>
                        </w:rPr>
                        <w:t>_____________________________________________________________________________________________________________________________________________________</w:t>
                      </w:r>
                    </w:p>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sz w:val="16"/>
                          <w:szCs w:val="16"/>
                          <w:lang w:eastAsia="en-US"/>
                        </w:rPr>
                        <w:t>(наименование исполнительного органа государственной власти Ивановской области)</w:t>
                      </w:r>
                    </w:p>
                    <w:p>
                      <w:pPr>
                        <w:pStyle w:val="Style31"/>
                        <w:tabs>
                          <w:tab w:val="clear" w:pos="720"/>
                          <w:tab w:val="left" w:pos="1226" w:leader="none"/>
                          <w:tab w:val="left" w:pos="1560" w:leader="none"/>
                        </w:tabs>
                        <w:overflowPunct w:val="false"/>
                        <w:jc w:val="center"/>
                        <w:rPr>
                          <w:sz w:val="8"/>
                          <w:szCs w:val="8"/>
                        </w:rPr>
                      </w:pPr>
                      <w:r>
                        <w:rPr>
                          <w:sz w:val="8"/>
                          <w:szCs w:val="8"/>
                        </w:rPr>
                      </w:r>
                    </w:p>
                    <w:p>
                      <w:pPr>
                        <w:pStyle w:val="Style31"/>
                        <w:tabs>
                          <w:tab w:val="clear" w:pos="720"/>
                          <w:tab w:val="left" w:pos="1226" w:leader="none"/>
                          <w:tab w:val="left" w:pos="1560" w:leader="none"/>
                        </w:tabs>
                        <w:overflowPunct w:val="false"/>
                        <w:jc w:val="center"/>
                        <w:rPr>
                          <w:color w:val="000000"/>
                        </w:rPr>
                      </w:pPr>
                      <w:r>
                        <w:rPr>
                          <w:rFonts w:eastAsia="Calibri" w:ascii="Tinos" w:hAnsi="Tinos"/>
                          <w:b/>
                          <w:bCs/>
                          <w:color w:val="000000"/>
                          <w:lang w:eastAsia="en-US"/>
                        </w:rPr>
                        <w:t>ЗАРЕГИСТРИРОВАНО</w:t>
                      </w:r>
                    </w:p>
                    <w:p>
                      <w:pPr>
                        <w:pStyle w:val="Style31"/>
                        <w:tabs>
                          <w:tab w:val="clear" w:pos="720"/>
                          <w:tab w:val="left" w:pos="1226" w:leader="none"/>
                          <w:tab w:val="left" w:pos="1560" w:leader="none"/>
                        </w:tabs>
                        <w:overflowPunct w:val="false"/>
                        <w:jc w:val="center"/>
                        <w:rPr>
                          <w:sz w:val="8"/>
                          <w:szCs w:val="8"/>
                        </w:rPr>
                      </w:pPr>
                      <w:r>
                        <w:rPr>
                          <w:sz w:val="8"/>
                          <w:szCs w:val="8"/>
                        </w:rPr>
                      </w:r>
                    </w:p>
                    <w:p>
                      <w:pPr>
                        <w:pStyle w:val="Style31"/>
                        <w:tabs>
                          <w:tab w:val="clear" w:pos="720"/>
                          <w:tab w:val="left" w:pos="1226" w:leader="none"/>
                          <w:tab w:val="left" w:pos="1560" w:leader="none"/>
                        </w:tabs>
                        <w:overflowPunct w:val="false"/>
                        <w:jc w:val="center"/>
                        <w:rPr>
                          <w:color w:val="000000"/>
                        </w:rPr>
                      </w:pPr>
                      <w:r>
                        <w:rPr>
                          <w:rFonts w:eastAsia="Calibri" w:ascii="Tinos" w:hAnsi="Tinos"/>
                          <w:color w:val="000000"/>
                          <w:lang w:eastAsia="en-US"/>
                        </w:rPr>
                        <w:t>«</w:t>
                      </w:r>
                      <w:r>
                        <w:rPr>
                          <w:rFonts w:eastAsia="Calibri" w:cs="Times New Roman" w:ascii="Tinos" w:hAnsi="Tinos"/>
                          <w:color w:val="000000"/>
                          <w:kern w:val="0"/>
                          <w:sz w:val="20"/>
                          <w:szCs w:val="20"/>
                          <w:u w:val="single"/>
                          <w:lang w:val="ru-RU" w:eastAsia="en-US" w:bidi="ar-SA"/>
                        </w:rPr>
                        <w:t>____</w:t>
                      </w:r>
                      <w:r>
                        <w:rPr>
                          <w:rFonts w:eastAsia="Calibri" w:ascii="Tinos" w:hAnsi="Tinos"/>
                          <w:color w:val="000000"/>
                          <w:lang w:eastAsia="en-US"/>
                        </w:rPr>
                        <w:t>»</w:t>
                      </w:r>
                      <w:r>
                        <w:rPr>
                          <w:rFonts w:eastAsia="Calibri" w:ascii="Tinos" w:hAnsi="Tinos"/>
                          <w:color w:val="000000"/>
                          <w:u w:val="single"/>
                          <w:lang w:eastAsia="en-US"/>
                        </w:rPr>
                        <w:t xml:space="preserve"> ________</w:t>
                      </w:r>
                      <w:r>
                        <w:rPr>
                          <w:rFonts w:eastAsia="Calibri" w:ascii="Tinos" w:hAnsi="Tinos"/>
                          <w:color w:val="000000"/>
                          <w:lang w:eastAsia="en-US"/>
                        </w:rPr>
                        <w:t>20</w:t>
                      </w:r>
                      <w:r>
                        <w:rPr>
                          <w:rFonts w:eastAsia="Calibri" w:cs="Times New Roman" w:ascii="Tinos" w:hAnsi="Tinos"/>
                          <w:color w:val="000000"/>
                          <w:kern w:val="0"/>
                          <w:sz w:val="20"/>
                          <w:szCs w:val="20"/>
                          <w:u w:val="single"/>
                          <w:lang w:val="ru-RU" w:eastAsia="en-US" w:bidi="ar-SA"/>
                        </w:rPr>
                        <w:t>2_</w:t>
                      </w:r>
                      <w:r>
                        <w:rPr>
                          <w:rFonts w:eastAsia="Calibri" w:ascii="Tinos" w:hAnsi="Tinos"/>
                          <w:color w:val="000000"/>
                          <w:lang w:eastAsia="en-US"/>
                        </w:rPr>
                        <w:t>г.</w:t>
                      </w:r>
                    </w:p>
                    <w:p>
                      <w:pPr>
                        <w:pStyle w:val="Style31"/>
                        <w:tabs>
                          <w:tab w:val="clear" w:pos="720"/>
                          <w:tab w:val="left" w:pos="1226" w:leader="none"/>
                          <w:tab w:val="left" w:pos="1560" w:leader="none"/>
                        </w:tabs>
                        <w:overflowPunct w:val="false"/>
                        <w:jc w:val="center"/>
                        <w:rPr>
                          <w:color w:val="000000"/>
                        </w:rPr>
                      </w:pPr>
                      <w:r>
                        <w:rPr>
                          <w:color w:val="000000"/>
                        </w:rPr>
                      </w:r>
                    </w:p>
                    <w:p>
                      <w:pPr>
                        <w:pStyle w:val="Style31"/>
                        <w:tabs>
                          <w:tab w:val="clear" w:pos="720"/>
                          <w:tab w:val="left" w:pos="1226" w:leader="none"/>
                          <w:tab w:val="left" w:pos="1560" w:leader="none"/>
                        </w:tabs>
                        <w:overflowPunct w:val="false"/>
                        <w:jc w:val="center"/>
                        <w:rPr>
                          <w:color w:val="000000"/>
                        </w:rPr>
                      </w:pPr>
                      <w:bookmarkStart w:id="1" w:name="_GoBack"/>
                      <w:r>
                        <w:rPr>
                          <w:rFonts w:eastAsia="Calibri" w:ascii="Tinos" w:hAnsi="Tinos"/>
                          <w:color w:val="000000"/>
                          <w:lang w:eastAsia="en-US"/>
                        </w:rPr>
                        <w:t xml:space="preserve">Регистрационный № </w:t>
                      </w:r>
                      <w:bookmarkEnd w:id="1"/>
                      <w:r>
                        <w:rPr>
                          <w:rFonts w:eastAsia="Calibri" w:cs="Times New Roman" w:ascii="Tinos" w:hAnsi="Tinos"/>
                          <w:color w:val="000000"/>
                          <w:kern w:val="0"/>
                          <w:sz w:val="20"/>
                          <w:szCs w:val="20"/>
                          <w:u w:val="single"/>
                          <w:lang w:val="ru-RU" w:eastAsia="en-US" w:bidi="ar-SA"/>
                        </w:rPr>
                        <w:t>___________</w:t>
                      </w:r>
                    </w:p>
                  </w:txbxContent>
                </v:textbox>
                <w10:wrap type="none"/>
              </v:rect>
            </w:pict>
          </mc:Fallback>
        </mc:AlternateContent>
        <w:drawing>
          <wp:anchor behindDoc="0" distT="0" distB="0" distL="114300" distR="114300" simplePos="0" locked="0" layoutInCell="0" allowOverlap="1" relativeHeight="2">
            <wp:simplePos x="0" y="0"/>
            <wp:positionH relativeFrom="column">
              <wp:posOffset>2775585</wp:posOffset>
            </wp:positionH>
            <wp:positionV relativeFrom="paragraph">
              <wp:posOffset>361950</wp:posOffset>
            </wp:positionV>
            <wp:extent cx="922655" cy="691515"/>
            <wp:effectExtent l="0" t="0" r="0" b="0"/>
            <wp:wrapTopAndBottom/>
            <wp:docPr id="3" name="Рисунок 1" descr="Gerb_IvReg_small_bw_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Gerb_IvReg_small_bw_line"/>
                    <pic:cNvPicPr>
                      <a:picLocks noChangeAspect="1" noChangeArrowheads="1"/>
                    </pic:cNvPicPr>
                  </pic:nvPicPr>
                  <pic:blipFill>
                    <a:blip r:embed="rId2"/>
                    <a:stretch>
                      <a:fillRect/>
                    </a:stretch>
                  </pic:blipFill>
                  <pic:spPr bwMode="auto">
                    <a:xfrm>
                      <a:off x="0" y="0"/>
                      <a:ext cx="922655" cy="691515"/>
                    </a:xfrm>
                    <a:prstGeom prst="rect">
                      <a:avLst/>
                    </a:prstGeom>
                  </pic:spPr>
                </pic:pic>
              </a:graphicData>
            </a:graphic>
          </wp:anchor>
        </w:drawing>
      </w:r>
    </w:p>
    <w:p>
      <w:pPr>
        <w:pStyle w:val="Normal"/>
        <w:jc w:val="center"/>
        <w:rPr>
          <w:shd w:fill="auto" w:val="clear"/>
        </w:rPr>
      </w:pPr>
      <w:r>
        <w:rPr>
          <w:shd w:fill="auto" w:val="clear"/>
        </w:rPr>
      </w:r>
    </w:p>
    <w:p>
      <w:pPr>
        <w:pStyle w:val="Normal"/>
        <w:jc w:val="center"/>
        <w:rPr>
          <w:shd w:fill="auto" w:val="clear"/>
        </w:rPr>
      </w:pPr>
      <w:r>
        <w:rPr>
          <w:b/>
          <w:sz w:val="32"/>
          <w:szCs w:val="32"/>
          <w:shd w:fill="auto" w:val="clear"/>
        </w:rPr>
        <w:t>КОМИТЕТ ИВАНОВСКОЙ ОБЛАСТИ</w:t>
      </w:r>
    </w:p>
    <w:p>
      <w:pPr>
        <w:pStyle w:val="Normal"/>
        <w:jc w:val="center"/>
        <w:rPr>
          <w:shd w:fill="auto" w:val="clear"/>
        </w:rPr>
      </w:pPr>
      <w:r>
        <w:rPr>
          <w:b/>
          <w:sz w:val="32"/>
          <w:szCs w:val="32"/>
          <w:shd w:fill="auto" w:val="clear"/>
        </w:rPr>
        <w:t xml:space="preserve">ПО ГОСУДАРСТВЕННОЙ ОХРАНЕ ОБЪЕКТОВ </w:t>
      </w:r>
    </w:p>
    <w:p>
      <w:pPr>
        <w:pStyle w:val="Normal"/>
        <w:jc w:val="center"/>
        <w:rPr>
          <w:shd w:fill="auto" w:val="clear"/>
        </w:rPr>
      </w:pPr>
      <w:r>
        <w:rPr>
          <w:b/>
          <w:sz w:val="32"/>
          <w:szCs w:val="32"/>
          <w:shd w:fill="auto" w:val="clear"/>
        </w:rPr>
        <w:t xml:space="preserve">КУЛЬТУРНОГО НАСЛЕДИЯ </w:t>
      </w:r>
    </w:p>
    <w:tbl>
      <w:tblPr>
        <w:tblW w:w="5000" w:type="pct"/>
        <w:jc w:val="left"/>
        <w:tblInd w:w="0" w:type="dxa"/>
        <w:tblLayout w:type="fixed"/>
        <w:tblCellMar>
          <w:top w:w="0" w:type="dxa"/>
          <w:left w:w="108" w:type="dxa"/>
          <w:bottom w:w="0" w:type="dxa"/>
          <w:right w:w="108" w:type="dxa"/>
        </w:tblCellMar>
        <w:tblLook w:lastRow="1" w:firstRow="1" w:lastColumn="1" w:firstColumn="1" w:val="01e0" w:noHBand="0" w:noVBand="0"/>
      </w:tblPr>
      <w:tblGrid>
        <w:gridCol w:w="10205"/>
      </w:tblGrid>
      <w:tr>
        <w:trPr>
          <w:trHeight w:val="66" w:hRule="atLeast"/>
        </w:trPr>
        <w:tc>
          <w:tcPr>
            <w:tcW w:w="10205" w:type="dxa"/>
            <w:tcBorders>
              <w:bottom w:val="single" w:sz="12" w:space="0" w:color="000000"/>
            </w:tcBorders>
          </w:tcPr>
          <w:p>
            <w:pPr>
              <w:pStyle w:val="Normal"/>
              <w:widowControl w:val="false"/>
              <w:rPr>
                <w:color w:val="000000"/>
                <w:sz w:val="8"/>
                <w:szCs w:val="8"/>
                <w:shd w:fill="auto" w:val="clear"/>
              </w:rPr>
            </w:pPr>
            <w:r>
              <w:rPr>
                <w:color w:val="000000"/>
                <w:sz w:val="8"/>
                <w:szCs w:val="8"/>
                <w:shd w:fill="auto" w:val="clear"/>
              </w:rPr>
            </w:r>
          </w:p>
        </w:tc>
      </w:tr>
    </w:tbl>
    <w:p>
      <w:pPr>
        <w:pStyle w:val="Normal"/>
        <w:widowControl/>
        <w:jc w:val="center"/>
        <w:rPr>
          <w:spacing w:val="80"/>
          <w:shd w:fill="auto" w:val="clear"/>
        </w:rPr>
      </w:pPr>
      <w:r>
        <w:rPr>
          <w:spacing w:val="80"/>
          <w:shd w:fill="auto" w:val="clear"/>
        </w:rPr>
      </w:r>
    </w:p>
    <w:p>
      <w:pPr>
        <w:pStyle w:val="Normal"/>
        <w:widowControl/>
        <w:jc w:val="center"/>
        <w:rPr>
          <w:shd w:fill="auto" w:val="clear"/>
        </w:rPr>
      </w:pPr>
      <w:r>
        <w:rPr>
          <w:b/>
          <w:spacing w:val="80"/>
          <w:sz w:val="40"/>
          <w:szCs w:val="40"/>
          <w:shd w:fill="auto" w:val="clear"/>
        </w:rPr>
        <w:t>ПРИКАЗ</w:t>
      </w:r>
    </w:p>
    <w:p>
      <w:pPr>
        <w:pStyle w:val="Normal"/>
        <w:widowControl/>
        <w:spacing w:before="0" w:after="0"/>
        <w:contextualSpacing/>
        <w:jc w:val="center"/>
        <w:rPr>
          <w:sz w:val="28"/>
          <w:szCs w:val="28"/>
          <w:shd w:fill="auto" w:val="clear"/>
        </w:rPr>
      </w:pPr>
      <w:r>
        <w:rPr>
          <w:sz w:val="28"/>
          <w:szCs w:val="28"/>
          <w:shd w:fill="auto" w:val="clear"/>
        </w:rPr>
      </w:r>
    </w:p>
    <w:tbl>
      <w:tblPr>
        <w:tblW w:w="10200" w:type="dxa"/>
        <w:jc w:val="left"/>
        <w:tblInd w:w="109" w:type="dxa"/>
        <w:tblLayout w:type="fixed"/>
        <w:tblCellMar>
          <w:top w:w="0" w:type="dxa"/>
          <w:left w:w="108" w:type="dxa"/>
          <w:bottom w:w="0" w:type="dxa"/>
          <w:right w:w="108" w:type="dxa"/>
        </w:tblCellMar>
        <w:tblLook w:noVBand="1" w:val="04a0" w:noHBand="0" w:lastColumn="0" w:firstColumn="1" w:lastRow="0" w:firstRow="1"/>
      </w:tblPr>
      <w:tblGrid>
        <w:gridCol w:w="3400"/>
        <w:gridCol w:w="1702"/>
        <w:gridCol w:w="1701"/>
        <w:gridCol w:w="3397"/>
      </w:tblGrid>
      <w:tr>
        <w:trPr>
          <w:trHeight w:val="365" w:hRule="atLeast"/>
        </w:trPr>
        <w:tc>
          <w:tcPr>
            <w:tcW w:w="3400" w:type="dxa"/>
            <w:tcBorders/>
            <w:shd w:color="auto" w:fill="auto" w:val="clear"/>
          </w:tcPr>
          <w:p>
            <w:pPr>
              <w:pStyle w:val="Normal"/>
              <w:widowControl w:val="false"/>
              <w:spacing w:before="0" w:after="0"/>
              <w:contextualSpacing/>
              <w:rPr>
                <w:sz w:val="28"/>
                <w:szCs w:val="28"/>
                <w:shd w:fill="auto" w:val="clear"/>
              </w:rPr>
            </w:pPr>
            <w:r>
              <w:rPr>
                <w:sz w:val="28"/>
                <w:szCs w:val="28"/>
                <w:shd w:fill="auto" w:val="clear"/>
              </w:rPr>
              <w:t>«</w:t>
            </w:r>
            <w:r>
              <w:rPr>
                <w:rFonts w:eastAsia="Times New Roman" w:cs="Times New Roman"/>
                <w:color w:val="000000"/>
                <w:kern w:val="0"/>
                <w:sz w:val="28"/>
                <w:szCs w:val="28"/>
                <w:u w:val="single"/>
                <w:shd w:fill="auto" w:val="clear"/>
                <w:lang w:val="ru-RU" w:eastAsia="ar-SA" w:bidi="ar-SA"/>
              </w:rPr>
              <w:t>___</w:t>
            </w:r>
            <w:r>
              <w:rPr>
                <w:sz w:val="28"/>
                <w:szCs w:val="28"/>
                <w:shd w:fill="auto" w:val="clear"/>
              </w:rPr>
              <w:t xml:space="preserve">» </w:t>
            </w:r>
            <w:r>
              <w:rPr>
                <w:rFonts w:eastAsia="Times New Roman" w:cs="Times New Roman"/>
                <w:color w:val="000000"/>
                <w:kern w:val="0"/>
                <w:sz w:val="28"/>
                <w:szCs w:val="28"/>
                <w:u w:val="single"/>
                <w:shd w:fill="auto" w:val="clear"/>
                <w:lang w:val="ru-RU" w:eastAsia="ar-SA" w:bidi="ar-SA"/>
              </w:rPr>
              <w:t>_________</w:t>
            </w:r>
            <w:r>
              <w:rPr>
                <w:sz w:val="28"/>
                <w:szCs w:val="28"/>
                <w:shd w:fill="auto" w:val="clear"/>
              </w:rPr>
              <w:t>20</w:t>
            </w:r>
            <w:r>
              <w:rPr>
                <w:sz w:val="28"/>
                <w:szCs w:val="28"/>
                <w:u w:val="single"/>
                <w:shd w:fill="auto" w:val="clear"/>
              </w:rPr>
              <w:t xml:space="preserve">26 </w:t>
            </w:r>
            <w:r>
              <w:rPr>
                <w:sz w:val="28"/>
                <w:szCs w:val="28"/>
                <w:shd w:fill="auto" w:val="clear"/>
              </w:rPr>
              <w:t>г.</w:t>
            </w:r>
          </w:p>
        </w:tc>
        <w:tc>
          <w:tcPr>
            <w:tcW w:w="3403" w:type="dxa"/>
            <w:gridSpan w:val="2"/>
            <w:tcBorders/>
            <w:shd w:color="auto" w:fill="auto" w:val="clear"/>
          </w:tcPr>
          <w:p>
            <w:pPr>
              <w:pStyle w:val="Normal"/>
              <w:widowControl w:val="false"/>
              <w:spacing w:before="0" w:after="0"/>
              <w:contextualSpacing/>
              <w:jc w:val="center"/>
              <w:rPr>
                <w:sz w:val="28"/>
                <w:szCs w:val="28"/>
                <w:shd w:fill="auto" w:val="clear"/>
              </w:rPr>
            </w:pPr>
            <w:r>
              <w:rPr>
                <w:sz w:val="28"/>
                <w:szCs w:val="28"/>
                <w:shd w:fill="auto" w:val="clear"/>
              </w:rPr>
              <w:t>г. Иваново</w:t>
            </w:r>
          </w:p>
        </w:tc>
        <w:tc>
          <w:tcPr>
            <w:tcW w:w="3397" w:type="dxa"/>
            <w:tcBorders/>
            <w:shd w:color="auto" w:fill="auto" w:val="clear"/>
          </w:tcPr>
          <w:p>
            <w:pPr>
              <w:pStyle w:val="Normal"/>
              <w:widowControl w:val="false"/>
              <w:spacing w:before="0" w:after="0"/>
              <w:contextualSpacing/>
              <w:jc w:val="right"/>
              <w:rPr>
                <w:sz w:val="28"/>
                <w:szCs w:val="28"/>
                <w:u w:val="single"/>
              </w:rPr>
            </w:pPr>
            <w:r>
              <w:rPr>
                <w:sz w:val="28"/>
                <w:szCs w:val="28"/>
                <w:u w:val="single"/>
                <w:shd w:fill="auto" w:val="clear"/>
              </w:rPr>
              <w:t xml:space="preserve">№ </w:t>
            </w:r>
            <w:r>
              <w:rPr>
                <w:sz w:val="28"/>
                <w:szCs w:val="28"/>
                <w:u w:val="single"/>
                <w:shd w:fill="auto" w:val="clear"/>
              </w:rPr>
              <w:t>___</w:t>
            </w:r>
            <w:r>
              <w:rPr>
                <w:rFonts w:eastAsia="Times New Roman" w:cs="Times New Roman"/>
                <w:color w:val="000000"/>
                <w:kern w:val="0"/>
                <w:sz w:val="28"/>
                <w:szCs w:val="28"/>
                <w:u w:val="single"/>
                <w:shd w:fill="auto" w:val="clear"/>
                <w:lang w:val="ru-RU" w:eastAsia="ar-SA" w:bidi="ar-SA"/>
              </w:rPr>
              <w:t>-о_</w:t>
            </w:r>
          </w:p>
        </w:tc>
      </w:tr>
      <w:tr>
        <w:trPr>
          <w:trHeight w:val="365" w:hRule="atLeast"/>
        </w:trPr>
        <w:tc>
          <w:tcPr>
            <w:tcW w:w="10200" w:type="dxa"/>
            <w:gridSpan w:val="4"/>
            <w:tcBorders/>
            <w:shd w:color="auto" w:fill="auto" w:val="clear"/>
          </w:tcPr>
          <w:p>
            <w:pPr>
              <w:pStyle w:val="Normal"/>
              <w:widowControl w:val="false"/>
              <w:spacing w:before="0" w:after="0"/>
              <w:contextualSpacing/>
              <w:rPr>
                <w:sz w:val="28"/>
                <w:szCs w:val="28"/>
                <w:shd w:fill="auto" w:val="clear"/>
              </w:rPr>
            </w:pPr>
            <w:r>
              <w:rPr>
                <w:sz w:val="28"/>
                <w:szCs w:val="28"/>
                <w:shd w:fill="auto" w:val="clear"/>
              </w:rPr>
            </w:r>
          </w:p>
        </w:tc>
      </w:tr>
      <w:tr>
        <w:trPr>
          <w:trHeight w:val="365" w:hRule="atLeast"/>
        </w:trPr>
        <w:tc>
          <w:tcPr>
            <w:tcW w:w="10200" w:type="dxa"/>
            <w:gridSpan w:val="4"/>
            <w:tcBorders/>
            <w:shd w:color="auto" w:fill="auto" w:val="clear"/>
          </w:tcPr>
          <w:p>
            <w:pPr>
              <w:pStyle w:val="ConsPlusTitle"/>
              <w:widowControl w:val="false"/>
              <w:spacing w:lineRule="auto" w:line="276" w:before="0" w:after="0"/>
              <w:contextualSpacing/>
              <w:jc w:val="center"/>
              <w:rPr/>
            </w:pPr>
            <w:r>
              <w:rPr>
                <w:rFonts w:cs="Times New Roman" w:ascii="Tinos" w:hAnsi="Tinos"/>
                <w:b w:val="false"/>
                <w:bCs w:val="false"/>
                <w:color w:val="000000"/>
                <w:sz w:val="28"/>
                <w:szCs w:val="28"/>
                <w:shd w:fill="auto" w:val="clear"/>
              </w:rPr>
              <w:t xml:space="preserve">Об установлении Порядка передачи уполномоченными органами местного самоуправления муниципальных образований </w:t>
            </w:r>
            <w:r>
              <w:rPr>
                <w:rFonts w:eastAsia="Times New Roman" w:cs="Times New Roman" w:ascii="Tinos" w:hAnsi="Tinos"/>
                <w:b w:val="false"/>
                <w:bCs w:val="false"/>
                <w:color w:val="000000"/>
                <w:kern w:val="0"/>
                <w:sz w:val="28"/>
                <w:szCs w:val="28"/>
                <w:shd w:fill="auto" w:val="clear"/>
                <w:lang w:val="ru-RU" w:eastAsia="ru-RU" w:bidi="ar-SA"/>
              </w:rPr>
              <w:t>Ивановской области</w:t>
            </w:r>
            <w:r>
              <w:rPr>
                <w:rFonts w:cs="Times New Roman" w:ascii="Tinos" w:hAnsi="Tinos"/>
                <w:b w:val="false"/>
                <w:bCs w:val="false"/>
                <w:color w:val="000000"/>
                <w:sz w:val="28"/>
                <w:szCs w:val="28"/>
                <w:shd w:fill="auto" w:val="clear"/>
              </w:rPr>
              <w:t xml:space="preserve"> </w:t>
            </w:r>
            <w:r>
              <w:rPr>
                <w:rFonts w:eastAsia="Times New Roman" w:cs="Times New Roman" w:ascii="Tinos" w:hAnsi="Tinos"/>
                <w:b w:val="false"/>
                <w:bCs w:val="false"/>
                <w:color w:val="000000"/>
                <w:kern w:val="0"/>
                <w:sz w:val="28"/>
                <w:szCs w:val="28"/>
                <w:shd w:fill="auto" w:val="clear"/>
                <w:lang w:val="ru-RU" w:eastAsia="ru-RU" w:bidi="ar-SA"/>
              </w:rPr>
              <w:t>комитету Ивановской области по</w:t>
            </w:r>
            <w:r>
              <w:rPr>
                <w:rFonts w:cs="Times New Roman" w:ascii="Tinos" w:hAnsi="Tinos"/>
                <w:b w:val="false"/>
                <w:bCs w:val="false"/>
                <w:color w:val="000000"/>
                <w:sz w:val="28"/>
                <w:szCs w:val="28"/>
                <w:shd w:fill="auto" w:val="clear"/>
              </w:rPr>
              <w:t xml:space="preserve"> государственной охране объектов культурного наследия сведений об объектах культурного наследия местного (муниципального) значения, предусмотренных Федеральным законом «О содействии развитию и повышению эффективности управления в жилищной сфере и о внесении изменений </w:t>
              <w:br/>
              <w:t>в отдельные законодательные акты Российской Федерации»</w:t>
            </w:r>
          </w:p>
        </w:tc>
      </w:tr>
      <w:tr>
        <w:trPr>
          <w:trHeight w:val="365" w:hRule="atLeast"/>
        </w:trPr>
        <w:tc>
          <w:tcPr>
            <w:tcW w:w="10200" w:type="dxa"/>
            <w:gridSpan w:val="4"/>
            <w:tcBorders/>
            <w:shd w:color="auto" w:fill="auto" w:val="clear"/>
          </w:tcPr>
          <w:p>
            <w:pPr>
              <w:pStyle w:val="Normal"/>
              <w:widowControl w:val="false"/>
              <w:spacing w:lineRule="auto" w:line="360" w:before="0" w:after="0"/>
              <w:contextualSpacing/>
              <w:jc w:val="center"/>
              <w:rPr>
                <w:color w:val="auto"/>
                <w:sz w:val="28"/>
                <w:szCs w:val="28"/>
                <w:shd w:fill="auto" w:val="clear"/>
              </w:rPr>
            </w:pPr>
            <w:r>
              <w:rPr>
                <w:color w:val="000000"/>
                <w:sz w:val="28"/>
                <w:szCs w:val="28"/>
                <w:shd w:fill="auto" w:val="clear"/>
              </w:rPr>
            </w:r>
          </w:p>
        </w:tc>
      </w:tr>
      <w:tr>
        <w:trPr>
          <w:trHeight w:val="3402" w:hRule="atLeast"/>
        </w:trPr>
        <w:tc>
          <w:tcPr>
            <w:tcW w:w="10200" w:type="dxa"/>
            <w:gridSpan w:val="4"/>
            <w:tcBorders/>
            <w:shd w:color="auto" w:fill="auto" w:val="clear"/>
          </w:tcPr>
          <w:p>
            <w:pPr>
              <w:pStyle w:val="Normal"/>
              <w:widowControl w:val="false"/>
              <w:spacing w:lineRule="auto" w:line="276"/>
              <w:ind w:left="0" w:hanging="0"/>
              <w:jc w:val="both"/>
              <w:rPr/>
            </w:pPr>
            <w:r>
              <w:rPr>
                <w:rFonts w:ascii="Arial" w:hAnsi="Arial"/>
                <w:b w:val="false"/>
                <w:i w:val="false"/>
                <w:strike w:val="false"/>
                <w:dstrike w:val="false"/>
                <w:sz w:val="20"/>
                <w:u w:val="none"/>
              </w:rPr>
              <w:t xml:space="preserve"> </w:t>
            </w:r>
            <w:r>
              <w:rPr>
                <w:rFonts w:ascii="Arial" w:hAnsi="Arial"/>
                <w:b w:val="false"/>
                <w:i w:val="false"/>
                <w:strike w:val="false"/>
                <w:dstrike w:val="false"/>
                <w:sz w:val="28"/>
                <w:szCs w:val="28"/>
                <w:u w:val="none"/>
              </w:rPr>
              <w:t xml:space="preserve"> </w:t>
            </w:r>
            <w:r>
              <w:rPr>
                <w:rFonts w:ascii="Tinos" w:hAnsi="Tinos"/>
                <w:b w:val="false"/>
                <w:i w:val="false"/>
                <w:strike w:val="false"/>
                <w:dstrike w:val="false"/>
                <w:color w:val="000000"/>
                <w:sz w:val="28"/>
                <w:szCs w:val="28"/>
                <w:u w:val="none"/>
              </w:rPr>
              <w:t xml:space="preserve"> </w:t>
            </w:r>
            <w:r>
              <w:rPr>
                <w:rFonts w:ascii="Tinos" w:hAnsi="Tinos"/>
                <w:b w:val="false"/>
                <w:i w:val="false"/>
                <w:strike w:val="false"/>
                <w:dstrike w:val="false"/>
                <w:color w:val="000000"/>
                <w:sz w:val="28"/>
                <w:szCs w:val="28"/>
                <w:u w:val="none"/>
              </w:rPr>
              <w:t>В соответствии с федеральными законами от 25.06.2002 № 73-ФЗ</w:t>
              <w:br/>
              <w:t>«Об объектах культурного наследия (памятниках истории и культуры) народов Российской Федерации», от 13.07.2015 № 225-ФЗ «О содействии развитию</w:t>
              <w:br/>
              <w:t>и повышению эффективности управления в жилищной сфере и о внесении изменений в отдельные законодательные акты Российской Федерации», Постановлением Правительства Российской Федерации от 26.03.2019 № 319</w:t>
              <w:br/>
              <w:t>«О единой информационной системе жилищного строительства»</w:t>
              <w:br/>
            </w:r>
            <w:hyperlink r:id="rId3">
              <w:r>
                <w:rPr>
                  <w:rFonts w:cs="Times New Roman" w:ascii="Tinos" w:hAnsi="Tinos"/>
                  <w:b w:val="false"/>
                  <w:bCs w:val="false"/>
                  <w:color w:val="000000"/>
                  <w:sz w:val="28"/>
                  <w:szCs w:val="28"/>
                  <w:shd w:fill="auto" w:val="clear"/>
                </w:rPr>
                <w:t>п р и к а з ы в а ю:</w:t>
              </w:r>
            </w:hyperlink>
          </w:p>
          <w:p>
            <w:pPr>
              <w:pStyle w:val="ConsPlusTitle"/>
              <w:widowControl w:val="false"/>
              <w:spacing w:lineRule="auto" w:line="276"/>
              <w:ind w:left="0" w:right="0" w:firstLine="709"/>
              <w:jc w:val="both"/>
              <w:rPr>
                <w:rFonts w:ascii="Tinos" w:hAnsi="Tinos"/>
                <w:sz w:val="28"/>
                <w:szCs w:val="28"/>
              </w:rPr>
            </w:pPr>
            <w:r>
              <w:rPr>
                <w:rFonts w:cs="Times New Roman" w:ascii="Tinos" w:hAnsi="Tinos"/>
                <w:b w:val="false"/>
                <w:bCs w:val="false"/>
                <w:color w:val="000000"/>
                <w:sz w:val="28"/>
                <w:szCs w:val="28"/>
                <w:shd w:fill="auto" w:val="clear"/>
              </w:rPr>
              <w:t xml:space="preserve">1. </w:t>
            </w:r>
            <w:r>
              <w:rPr>
                <w:rFonts w:cs="Times New Roman" w:ascii="Tinos" w:hAnsi="Tinos"/>
                <w:b w:val="false"/>
                <w:bCs w:val="false"/>
                <w:color w:val="000000"/>
                <w:sz w:val="28"/>
                <w:szCs w:val="28"/>
                <w:shd w:fill="auto" w:val="clear"/>
              </w:rPr>
              <w:t xml:space="preserve">Утвердить Порядок передачи уполномоченными органами местного самоуправления муниципальных образований </w:t>
            </w:r>
            <w:r>
              <w:rPr>
                <w:rFonts w:eastAsia="Times New Roman" w:cs="Times New Roman" w:ascii="Tinos" w:hAnsi="Tinos"/>
                <w:b w:val="false"/>
                <w:bCs w:val="false"/>
                <w:color w:val="000000"/>
                <w:kern w:val="0"/>
                <w:sz w:val="28"/>
                <w:szCs w:val="28"/>
                <w:shd w:fill="auto" w:val="clear"/>
                <w:lang w:val="ru-RU" w:eastAsia="ru-RU" w:bidi="ar-SA"/>
              </w:rPr>
              <w:t>Ивановской области</w:t>
            </w:r>
            <w:r>
              <w:rPr>
                <w:rFonts w:cs="Times New Roman" w:ascii="Tinos" w:hAnsi="Tinos"/>
                <w:b w:val="false"/>
                <w:bCs w:val="false"/>
                <w:color w:val="000000"/>
                <w:sz w:val="28"/>
                <w:szCs w:val="28"/>
                <w:shd w:fill="auto" w:val="clear"/>
              </w:rPr>
              <w:t xml:space="preserve"> </w:t>
            </w:r>
            <w:r>
              <w:rPr>
                <w:rFonts w:eastAsia="Times New Roman" w:cs="Times New Roman" w:ascii="Tinos" w:hAnsi="Tinos"/>
                <w:b w:val="false"/>
                <w:bCs w:val="false"/>
                <w:color w:val="000000"/>
                <w:kern w:val="0"/>
                <w:sz w:val="28"/>
                <w:szCs w:val="28"/>
                <w:shd w:fill="auto" w:val="clear"/>
                <w:lang w:val="ru-RU" w:eastAsia="ru-RU" w:bidi="ar-SA"/>
              </w:rPr>
              <w:t>комитету Ивановской области по</w:t>
            </w:r>
            <w:r>
              <w:rPr>
                <w:rFonts w:cs="Times New Roman" w:ascii="Tinos" w:hAnsi="Tinos"/>
                <w:b w:val="false"/>
                <w:bCs w:val="false"/>
                <w:color w:val="000000"/>
                <w:sz w:val="28"/>
                <w:szCs w:val="28"/>
                <w:shd w:fill="auto" w:val="clear"/>
              </w:rPr>
              <w:t xml:space="preserve"> государственной охране объектов культурного наследия сведений об объектах культурного наследия местного (муниципального) значения, предусмотренных Федеральным законом </w:t>
            </w:r>
            <w:r>
              <w:rPr>
                <w:rFonts w:ascii="Tinos" w:hAnsi="Tinos"/>
                <w:b w:val="false"/>
                <w:i w:val="false"/>
                <w:strike w:val="false"/>
                <w:dstrike w:val="false"/>
                <w:sz w:val="28"/>
                <w:szCs w:val="28"/>
                <w:u w:val="none"/>
              </w:rPr>
              <w:t xml:space="preserve">от 13.07.2015 </w:t>
            </w:r>
            <w:r>
              <w:rPr>
                <w:rFonts w:ascii="Tinos" w:hAnsi="Tinos"/>
                <w:b w:val="false"/>
                <w:i w:val="false"/>
                <w:strike w:val="false"/>
                <w:dstrike w:val="false"/>
                <w:sz w:val="28"/>
                <w:szCs w:val="28"/>
                <w:u w:val="none"/>
              </w:rPr>
              <w:t>№</w:t>
            </w:r>
            <w:r>
              <w:rPr>
                <w:rFonts w:ascii="Tinos" w:hAnsi="Tinos"/>
                <w:b w:val="false"/>
                <w:i w:val="false"/>
                <w:strike w:val="false"/>
                <w:dstrike w:val="false"/>
                <w:sz w:val="28"/>
                <w:szCs w:val="28"/>
                <w:u w:val="none"/>
              </w:rPr>
              <w:t xml:space="preserve"> 225-ФЗ </w:t>
            </w:r>
            <w:r>
              <w:rPr>
                <w:rFonts w:cs="Times New Roman" w:ascii="Tinos" w:hAnsi="Tinos"/>
                <w:b w:val="false"/>
                <w:bCs w:val="false"/>
                <w:color w:val="000000"/>
                <w:sz w:val="28"/>
                <w:szCs w:val="28"/>
                <w:shd w:fill="auto" w:val="clear"/>
              </w:rPr>
              <w:t>«О содействии развитию и повышению эффективности управления в жилищной сфере</w:t>
              <w:br/>
              <w:t>и о внесении изменений в отдельные законодательные акты Российской Федерации»  (прилагается).</w:t>
            </w:r>
          </w:p>
          <w:p>
            <w:pPr>
              <w:pStyle w:val="ConsPlusTitle"/>
              <w:widowControl w:val="false"/>
              <w:spacing w:lineRule="auto" w:line="276"/>
              <w:ind w:left="0" w:right="0" w:firstLine="709"/>
              <w:jc w:val="both"/>
              <w:rPr/>
            </w:pPr>
            <w:r>
              <w:rPr>
                <w:rFonts w:cs="Times New Roman" w:ascii="Tinos" w:hAnsi="Tinos"/>
                <w:b w:val="false"/>
                <w:bCs w:val="false"/>
                <w:color w:val="000000"/>
                <w:sz w:val="28"/>
                <w:szCs w:val="28"/>
                <w:shd w:fill="auto" w:val="clear"/>
              </w:rPr>
              <w:t xml:space="preserve">2. Рекомендовать органам местного самоуправления муниципальных образований </w:t>
            </w:r>
            <w:r>
              <w:rPr>
                <w:rFonts w:eastAsia="Times New Roman" w:cs="Times New Roman" w:ascii="Tinos" w:hAnsi="Tinos"/>
                <w:b w:val="false"/>
                <w:bCs w:val="false"/>
                <w:color w:val="000000"/>
                <w:kern w:val="0"/>
                <w:sz w:val="28"/>
                <w:szCs w:val="28"/>
                <w:shd w:fill="auto" w:val="clear"/>
                <w:lang w:val="ru-RU" w:eastAsia="ru-RU" w:bidi="ar-SA"/>
              </w:rPr>
              <w:t>Ивановской области</w:t>
            </w:r>
            <w:r>
              <w:rPr>
                <w:rFonts w:cs="Times New Roman" w:ascii="Tinos" w:hAnsi="Tinos"/>
                <w:b w:val="false"/>
                <w:bCs w:val="false"/>
                <w:color w:val="000000"/>
                <w:sz w:val="28"/>
                <w:szCs w:val="28"/>
                <w:shd w:fill="auto" w:val="clear"/>
              </w:rPr>
              <w:t>:</w:t>
            </w:r>
          </w:p>
          <w:p>
            <w:pPr>
              <w:pStyle w:val="ConsPlusTitle"/>
              <w:widowControl w:val="false"/>
              <w:spacing w:lineRule="auto" w:line="276"/>
              <w:ind w:left="0" w:right="0" w:firstLine="709"/>
              <w:jc w:val="both"/>
              <w:rPr/>
            </w:pPr>
            <w:r>
              <w:rPr>
                <w:rFonts w:cs="Times New Roman" w:ascii="Tinos" w:hAnsi="Tinos"/>
                <w:b w:val="false"/>
                <w:bCs w:val="false"/>
                <w:color w:val="000000"/>
                <w:sz w:val="28"/>
                <w:szCs w:val="28"/>
                <w:shd w:fill="auto" w:val="clear"/>
              </w:rPr>
              <w:t xml:space="preserve">2.1. Совместно с </w:t>
            </w:r>
            <w:r>
              <w:rPr>
                <w:rFonts w:eastAsia="Times New Roman" w:cs="Times New Roman" w:ascii="Tinos" w:hAnsi="Tinos"/>
                <w:b w:val="false"/>
                <w:bCs w:val="false"/>
                <w:color w:val="000000"/>
                <w:kern w:val="0"/>
                <w:sz w:val="28"/>
                <w:szCs w:val="28"/>
                <w:shd w:fill="auto" w:val="clear"/>
                <w:lang w:val="ru-RU" w:eastAsia="ru-RU" w:bidi="ar-SA"/>
              </w:rPr>
              <w:t>комитетом Ивановской области по государственной охране объектов культурного наследия</w:t>
            </w:r>
            <w:r>
              <w:rPr>
                <w:rFonts w:cs="Times New Roman" w:ascii="Tinos" w:hAnsi="Tinos"/>
                <w:b w:val="false"/>
                <w:bCs w:val="false"/>
                <w:color w:val="000000"/>
                <w:sz w:val="28"/>
                <w:szCs w:val="28"/>
                <w:shd w:fill="auto" w:val="clear"/>
              </w:rPr>
              <w:t xml:space="preserve"> (далее – комитет) организовать работу по предоставлению в </w:t>
            </w:r>
            <w:r>
              <w:rPr>
                <w:rFonts w:eastAsia="Times New Roman" w:cs="Times New Roman" w:ascii="Tinos" w:hAnsi="Tinos"/>
                <w:b w:val="false"/>
                <w:bCs w:val="false"/>
                <w:color w:val="000000"/>
                <w:kern w:val="0"/>
                <w:sz w:val="28"/>
                <w:szCs w:val="28"/>
                <w:shd w:fill="auto" w:val="clear"/>
                <w:lang w:val="ru-RU" w:eastAsia="ru-RU" w:bidi="ar-SA"/>
              </w:rPr>
              <w:t>комитет</w:t>
            </w:r>
            <w:r>
              <w:rPr>
                <w:rFonts w:cs="Times New Roman" w:ascii="Tinos" w:hAnsi="Tinos"/>
                <w:b w:val="false"/>
                <w:bCs w:val="false"/>
                <w:color w:val="000000"/>
                <w:sz w:val="28"/>
                <w:szCs w:val="28"/>
                <w:shd w:fill="auto" w:val="clear"/>
              </w:rPr>
              <w:t xml:space="preserve"> сведений об объектах культурного наследия местного (муниципального) значения, предусмотренных подпунктами «д» и «е» пункта 22 части 3 статьи 5.2 Федерального закона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 подлежащих внесению в Единую информационную систему жилищного строительства.</w:t>
            </w:r>
          </w:p>
          <w:p>
            <w:pPr>
              <w:pStyle w:val="ConsPlusTitle"/>
              <w:widowControl w:val="false"/>
              <w:spacing w:lineRule="auto" w:line="276"/>
              <w:ind w:left="0" w:right="0" w:firstLine="709"/>
              <w:jc w:val="both"/>
              <w:rPr/>
            </w:pPr>
            <w:r>
              <w:rPr>
                <w:rFonts w:cs="Times New Roman" w:ascii="Tinos" w:hAnsi="Tinos"/>
                <w:b w:val="false"/>
                <w:bCs w:val="false"/>
                <w:color w:val="000000"/>
                <w:sz w:val="28"/>
                <w:szCs w:val="28"/>
                <w:shd w:fill="auto" w:val="clear"/>
              </w:rPr>
              <w:t>2.2. Определить должностных лиц, осуществляющих формирование</w:t>
              <w:br/>
              <w:t xml:space="preserve">и </w:t>
            </w:r>
            <w:r>
              <w:rPr>
                <w:rFonts w:eastAsia="Times New Roman" w:cs="Times New Roman" w:ascii="Tinos" w:hAnsi="Tinos"/>
                <w:b w:val="false"/>
                <w:bCs w:val="false"/>
                <w:color w:val="000000"/>
                <w:kern w:val="0"/>
                <w:sz w:val="28"/>
                <w:szCs w:val="28"/>
                <w:shd w:fill="auto" w:val="clear"/>
                <w:lang w:val="ru-RU" w:eastAsia="ru-RU" w:bidi="ar-SA"/>
              </w:rPr>
              <w:t>направление</w:t>
            </w:r>
            <w:r>
              <w:rPr>
                <w:rFonts w:cs="Times New Roman" w:ascii="Tinos" w:hAnsi="Tinos"/>
                <w:b w:val="false"/>
                <w:bCs w:val="false"/>
                <w:color w:val="000000"/>
                <w:sz w:val="28"/>
                <w:szCs w:val="28"/>
                <w:shd w:fill="auto" w:val="clear"/>
              </w:rPr>
              <w:t xml:space="preserve"> в </w:t>
            </w:r>
            <w:r>
              <w:rPr>
                <w:rFonts w:eastAsia="Times New Roman" w:cs="Times New Roman" w:ascii="Tinos" w:hAnsi="Tinos"/>
                <w:b w:val="false"/>
                <w:bCs w:val="false"/>
                <w:color w:val="000000"/>
                <w:kern w:val="0"/>
                <w:sz w:val="28"/>
                <w:szCs w:val="28"/>
                <w:shd w:fill="auto" w:val="clear"/>
                <w:lang w:val="ru-RU" w:eastAsia="ru-RU" w:bidi="ar-SA"/>
              </w:rPr>
              <w:t>комитет</w:t>
            </w:r>
            <w:r>
              <w:rPr>
                <w:rFonts w:cs="Times New Roman" w:ascii="Tinos" w:hAnsi="Tinos"/>
                <w:b w:val="false"/>
                <w:bCs w:val="false"/>
                <w:color w:val="000000"/>
                <w:sz w:val="28"/>
                <w:szCs w:val="28"/>
                <w:shd w:fill="auto" w:val="clear"/>
              </w:rPr>
              <w:t xml:space="preserve"> сведений об объектах культурного наследия местного (муниципального) значения, подлежащих внесению в Единую информационную систему жилищного строительства (далее – ответственные лица).</w:t>
            </w:r>
          </w:p>
          <w:p>
            <w:pPr>
              <w:pStyle w:val="ConsPlusTitle"/>
              <w:widowControl w:val="false"/>
              <w:spacing w:lineRule="auto" w:line="276"/>
              <w:ind w:left="0" w:right="0" w:firstLine="709"/>
              <w:jc w:val="both"/>
              <w:rPr/>
            </w:pPr>
            <w:r>
              <w:rPr>
                <w:rFonts w:cs="Times New Roman" w:ascii="Tinos" w:hAnsi="Tinos"/>
                <w:b w:val="false"/>
                <w:bCs w:val="false"/>
                <w:color w:val="000000"/>
                <w:sz w:val="28"/>
                <w:szCs w:val="28"/>
                <w:shd w:fill="auto" w:val="clear"/>
              </w:rPr>
              <w:t xml:space="preserve">2.3. В срок до </w:t>
            </w:r>
            <w:r>
              <w:rPr>
                <w:rFonts w:cs="Times New Roman" w:ascii="Tinos" w:hAnsi="Tinos"/>
                <w:b w:val="false"/>
                <w:bCs w:val="false"/>
                <w:color w:val="000000"/>
                <w:sz w:val="28"/>
                <w:szCs w:val="28"/>
                <w:shd w:fill="auto" w:val="clear"/>
              </w:rPr>
              <w:t>30</w:t>
            </w:r>
            <w:r>
              <w:rPr>
                <w:rFonts w:cs="Times New Roman" w:ascii="Tinos" w:hAnsi="Tinos"/>
                <w:b w:val="false"/>
                <w:bCs w:val="false"/>
                <w:color w:val="000000"/>
                <w:sz w:val="28"/>
                <w:szCs w:val="28"/>
                <w:shd w:fill="auto" w:val="clear"/>
              </w:rPr>
              <w:t xml:space="preserve">.10.2026 года направить в </w:t>
            </w:r>
            <w:r>
              <w:rPr>
                <w:rFonts w:eastAsia="Times New Roman" w:cs="Times New Roman" w:ascii="Tinos" w:hAnsi="Tinos"/>
                <w:b w:val="false"/>
                <w:bCs w:val="false"/>
                <w:color w:val="000000"/>
                <w:kern w:val="0"/>
                <w:sz w:val="28"/>
                <w:szCs w:val="28"/>
                <w:shd w:fill="auto" w:val="clear"/>
                <w:lang w:val="ru-RU" w:eastAsia="ru-RU" w:bidi="ar-SA"/>
              </w:rPr>
              <w:t>комитет</w:t>
            </w:r>
            <w:r>
              <w:rPr>
                <w:rFonts w:cs="Times New Roman" w:ascii="Tinos" w:hAnsi="Tinos"/>
                <w:b w:val="false"/>
                <w:bCs w:val="false"/>
                <w:color w:val="000000"/>
                <w:sz w:val="28"/>
                <w:szCs w:val="28"/>
                <w:shd w:fill="auto" w:val="clear"/>
              </w:rPr>
              <w:t xml:space="preserve"> </w:t>
            </w:r>
            <w:r>
              <w:rPr>
                <w:rFonts w:eastAsia="Times New Roman" w:cs="Times New Roman" w:ascii="Tinos" w:hAnsi="Tinos"/>
                <w:b w:val="false"/>
                <w:bCs w:val="false"/>
                <w:color w:val="000000"/>
                <w:kern w:val="0"/>
                <w:sz w:val="28"/>
                <w:szCs w:val="28"/>
                <w:shd w:fill="auto" w:val="clear"/>
                <w:lang w:val="ru-RU" w:eastAsia="ru-RU" w:bidi="ar-SA"/>
              </w:rPr>
              <w:t>сведения об</w:t>
            </w:r>
            <w:r>
              <w:rPr>
                <w:rFonts w:cs="Times New Roman" w:ascii="Tinos" w:hAnsi="Tinos"/>
                <w:b w:val="false"/>
                <w:bCs w:val="false"/>
                <w:color w:val="000000"/>
                <w:sz w:val="28"/>
                <w:szCs w:val="28"/>
                <w:shd w:fill="auto" w:val="clear"/>
              </w:rPr>
              <w:t xml:space="preserve"> ответственных лицах с указанием их контактных данных (Ф.И.О., наименование должности, номер телефона, адрес служебной электронной почты).</w:t>
            </w:r>
          </w:p>
          <w:p>
            <w:pPr>
              <w:pStyle w:val="ConsPlusTitle"/>
              <w:widowControl w:val="false"/>
              <w:spacing w:lineRule="auto" w:line="276"/>
              <w:ind w:left="0" w:right="0" w:firstLine="709"/>
              <w:jc w:val="both"/>
              <w:rPr/>
            </w:pPr>
            <w:r>
              <w:rPr>
                <w:rFonts w:cs="Times New Roman" w:ascii="Tinos" w:hAnsi="Tinos"/>
                <w:b w:val="false"/>
                <w:bCs w:val="false"/>
                <w:color w:val="000000"/>
                <w:sz w:val="28"/>
                <w:szCs w:val="28"/>
                <w:shd w:fill="auto" w:val="clear"/>
              </w:rPr>
              <w:t>2.4. Направлять в комитет актуализирова</w:t>
            </w:r>
            <w:r>
              <w:rPr>
                <w:rFonts w:eastAsia="Times New Roman" w:cs="Times New Roman" w:ascii="Tinos" w:hAnsi="Tinos"/>
                <w:b w:val="false"/>
                <w:bCs w:val="false"/>
                <w:color w:val="000000"/>
                <w:kern w:val="0"/>
                <w:sz w:val="28"/>
                <w:szCs w:val="28"/>
                <w:shd w:fill="auto" w:val="clear"/>
                <w:lang w:val="ru-RU" w:eastAsia="ru-RU" w:bidi="ar-SA"/>
              </w:rPr>
              <w:t>нные</w:t>
            </w:r>
            <w:r>
              <w:rPr>
                <w:rFonts w:cs="Times New Roman" w:ascii="Tinos" w:hAnsi="Tinos"/>
                <w:b w:val="false"/>
                <w:bCs w:val="false"/>
                <w:color w:val="000000"/>
                <w:sz w:val="28"/>
                <w:szCs w:val="28"/>
                <w:shd w:fill="auto" w:val="clear"/>
              </w:rPr>
              <w:t xml:space="preserve"> сведения об ответственных лицах, </w:t>
            </w:r>
            <w:r>
              <w:rPr>
                <w:rFonts w:eastAsia="Times New Roman" w:cs="Times New Roman" w:ascii="Tinos" w:hAnsi="Tinos"/>
                <w:b w:val="false"/>
                <w:bCs w:val="false"/>
                <w:color w:val="000000"/>
                <w:kern w:val="0"/>
                <w:sz w:val="28"/>
                <w:szCs w:val="28"/>
                <w:shd w:fill="auto" w:val="clear"/>
                <w:lang w:val="ru-RU" w:eastAsia="ru-RU" w:bidi="ar-SA"/>
              </w:rPr>
              <w:t>указанные в</w:t>
            </w:r>
            <w:r>
              <w:rPr>
                <w:rFonts w:cs="Times New Roman" w:ascii="Tinos" w:hAnsi="Tinos"/>
                <w:b w:val="false"/>
                <w:bCs w:val="false"/>
                <w:color w:val="000000"/>
                <w:sz w:val="28"/>
                <w:szCs w:val="28"/>
                <w:shd w:fill="auto" w:val="clear"/>
              </w:rPr>
              <w:t xml:space="preserve"> подпункте 2.3 пункта 2 настоящего приказа, в срок не позднее 3 рабочих дней со дня возникновения соответствующего основания для актуализации.</w:t>
            </w:r>
          </w:p>
          <w:p>
            <w:pPr>
              <w:pStyle w:val="ConsPlusTitle"/>
              <w:widowControl w:val="false"/>
              <w:spacing w:lineRule="auto" w:line="276"/>
              <w:ind w:left="0" w:right="0" w:firstLine="709"/>
              <w:jc w:val="both"/>
              <w:rPr>
                <w:rFonts w:ascii="Tinos" w:hAnsi="Tinos"/>
                <w:sz w:val="28"/>
                <w:szCs w:val="28"/>
              </w:rPr>
            </w:pPr>
            <w:r>
              <w:rPr>
                <w:rFonts w:cs="Times New Roman" w:ascii="Tinos" w:hAnsi="Tinos"/>
                <w:b w:val="false"/>
                <w:bCs w:val="false"/>
                <w:color w:val="000000"/>
                <w:sz w:val="28"/>
                <w:szCs w:val="28"/>
                <w:shd w:fill="auto" w:val="clear"/>
              </w:rPr>
              <w:t xml:space="preserve">3. </w:t>
            </w:r>
            <w:r>
              <w:rPr>
                <w:rFonts w:ascii="Tinos" w:hAnsi="Tinos"/>
                <w:b w:val="false"/>
                <w:i w:val="false"/>
                <w:strike w:val="false"/>
                <w:dstrike w:val="false"/>
                <w:sz w:val="28"/>
                <w:szCs w:val="28"/>
                <w:u w:val="none"/>
              </w:rPr>
              <w:t>Настоящий приказ вступает в силу после дня его официального опубликования.</w:t>
            </w:r>
          </w:p>
          <w:p>
            <w:pPr>
              <w:pStyle w:val="ConsPlusTitle"/>
              <w:widowControl w:val="false"/>
              <w:spacing w:lineRule="auto" w:line="360"/>
              <w:ind w:left="0" w:right="0" w:firstLine="709"/>
              <w:jc w:val="both"/>
              <w:rPr>
                <w:rFonts w:ascii="Tinos" w:hAnsi="Tinos" w:eastAsia="Times New Roman" w:cs="Times New Roman"/>
                <w:b w:val="false"/>
                <w:b w:val="false"/>
                <w:bCs w:val="false"/>
                <w:i w:val="false"/>
                <w:i w:val="false"/>
                <w:strike w:val="false"/>
                <w:dstrike w:val="false"/>
                <w:color w:val="000000"/>
                <w:kern w:val="0"/>
                <w:sz w:val="28"/>
                <w:szCs w:val="28"/>
                <w:u w:val="none"/>
                <w:shd w:fill="auto" w:val="clear"/>
                <w:lang w:val="ru-RU" w:eastAsia="ru-RU" w:bidi="ar-SA"/>
              </w:rPr>
            </w:pPr>
            <w:r>
              <w:rPr>
                <w:rFonts w:eastAsia="Times New Roman" w:cs="Times New Roman" w:ascii="Tinos" w:hAnsi="Tinos"/>
                <w:b w:val="false"/>
                <w:bCs w:val="false"/>
                <w:i w:val="false"/>
                <w:strike w:val="false"/>
                <w:dstrike w:val="false"/>
                <w:color w:val="000000"/>
                <w:kern w:val="0"/>
                <w:sz w:val="28"/>
                <w:szCs w:val="28"/>
                <w:u w:val="none"/>
                <w:shd w:fill="auto" w:val="clear"/>
                <w:lang w:val="ru-RU" w:eastAsia="ru-RU" w:bidi="ar-SA"/>
              </w:rPr>
            </w:r>
          </w:p>
        </w:tc>
      </w:tr>
      <w:tr>
        <w:trPr>
          <w:trHeight w:val="365" w:hRule="atLeast"/>
        </w:trPr>
        <w:tc>
          <w:tcPr>
            <w:tcW w:w="10200" w:type="dxa"/>
            <w:gridSpan w:val="4"/>
            <w:tcBorders/>
            <w:shd w:color="auto" w:fill="auto" w:val="clear"/>
          </w:tcPr>
          <w:p>
            <w:pPr>
              <w:pStyle w:val="Normal"/>
              <w:widowControl w:val="false"/>
              <w:spacing w:before="0" w:after="0"/>
              <w:ind w:firstLine="709"/>
              <w:contextualSpacing/>
              <w:jc w:val="both"/>
              <w:rPr>
                <w:sz w:val="28"/>
                <w:szCs w:val="28"/>
                <w:shd w:fill="auto" w:val="clear"/>
              </w:rPr>
            </w:pPr>
            <w:r>
              <w:rPr>
                <w:sz w:val="28"/>
                <w:szCs w:val="28"/>
                <w:shd w:fill="auto" w:val="clear"/>
              </w:rPr>
            </w:r>
          </w:p>
        </w:tc>
      </w:tr>
      <w:tr>
        <w:trPr>
          <w:trHeight w:val="365" w:hRule="atLeast"/>
        </w:trPr>
        <w:tc>
          <w:tcPr>
            <w:tcW w:w="5102" w:type="dxa"/>
            <w:gridSpan w:val="2"/>
            <w:tcBorders/>
            <w:shd w:color="auto" w:fill="auto" w:val="clear"/>
          </w:tcPr>
          <w:p>
            <w:pPr>
              <w:pStyle w:val="ConsPlusNormal"/>
              <w:widowControl w:val="false"/>
              <w:spacing w:lineRule="auto" w:line="276"/>
              <w:ind w:hanging="0"/>
              <w:rPr>
                <w:rFonts w:ascii="Times New Roman" w:hAnsi="Times New Roman" w:cs="Times New Roman"/>
                <w:sz w:val="28"/>
                <w:szCs w:val="28"/>
                <w:shd w:fill="auto" w:val="clear"/>
              </w:rPr>
            </w:pPr>
            <w:r>
              <w:rPr>
                <w:rFonts w:cs="Times New Roman" w:ascii="Times New Roman" w:hAnsi="Times New Roman"/>
                <w:sz w:val="28"/>
                <w:szCs w:val="28"/>
                <w:shd w:fill="auto" w:val="clear"/>
              </w:rPr>
              <w:t>Председатель комитета</w:t>
            </w:r>
          </w:p>
          <w:p>
            <w:pPr>
              <w:pStyle w:val="ConsPlusNormal"/>
              <w:widowControl w:val="false"/>
              <w:spacing w:lineRule="auto" w:line="276"/>
              <w:ind w:hanging="0"/>
              <w:rPr>
                <w:rFonts w:ascii="Times New Roman" w:hAnsi="Times New Roman" w:cs="Times New Roman"/>
                <w:sz w:val="28"/>
                <w:szCs w:val="28"/>
                <w:shd w:fill="auto" w:val="clear"/>
              </w:rPr>
            </w:pPr>
            <w:r>
              <w:rPr>
                <w:rFonts w:cs="Times New Roman" w:ascii="Times New Roman" w:hAnsi="Times New Roman"/>
                <w:sz w:val="28"/>
                <w:szCs w:val="28"/>
                <w:shd w:fill="auto" w:val="clear"/>
              </w:rPr>
              <w:t>Ивановской области по государственной охране объектов культурного наследия</w:t>
            </w:r>
          </w:p>
        </w:tc>
        <w:tc>
          <w:tcPr>
            <w:tcW w:w="5098" w:type="dxa"/>
            <w:gridSpan w:val="2"/>
            <w:tcBorders/>
            <w:shd w:color="auto" w:fill="auto" w:val="clear"/>
            <w:vAlign w:val="bottom"/>
          </w:tcPr>
          <w:p>
            <w:pPr>
              <w:pStyle w:val="Normal"/>
              <w:widowControl w:val="false"/>
              <w:spacing w:lineRule="auto" w:line="276" w:before="0" w:after="0"/>
              <w:contextualSpacing/>
              <w:jc w:val="right"/>
              <w:rPr>
                <w:sz w:val="28"/>
                <w:szCs w:val="28"/>
              </w:rPr>
            </w:pPr>
            <w:r>
              <w:rPr>
                <w:rFonts w:eastAsia="Times New Roman" w:cs="Times New Roman"/>
                <w:color w:val="000000"/>
                <w:kern w:val="0"/>
                <w:sz w:val="28"/>
                <w:szCs w:val="28"/>
                <w:shd w:fill="auto" w:val="clear"/>
                <w:lang w:val="ru-RU" w:eastAsia="ar-SA" w:bidi="ar-SA"/>
              </w:rPr>
              <w:t>А.А</w:t>
            </w:r>
            <w:r>
              <w:rPr>
                <w:sz w:val="28"/>
                <w:szCs w:val="28"/>
                <w:shd w:fill="auto" w:val="clear"/>
              </w:rPr>
              <w:t>. Макаров</w:t>
            </w:r>
          </w:p>
        </w:tc>
      </w:tr>
    </w:tbl>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hd w:fill="auto" w:val="clear"/>
        </w:rPr>
      </w:r>
    </w:p>
    <w:p>
      <w:pPr>
        <w:pStyle w:val="Normal"/>
        <w:spacing w:before="0" w:after="0"/>
        <w:contextualSpacing/>
        <w:jc w:val="right"/>
        <w:rPr>
          <w:color w:val="auto"/>
          <w:shd w:fill="auto" w:val="clear"/>
        </w:rPr>
      </w:pPr>
      <w:r>
        <w:rPr>
          <w:color w:val="000000"/>
          <w:sz w:val="28"/>
          <w:szCs w:val="28"/>
          <w:shd w:fill="auto" w:val="clear"/>
        </w:rPr>
        <w:t xml:space="preserve">Приложение к приказу комитета </w:t>
      </w:r>
    </w:p>
    <w:p>
      <w:pPr>
        <w:pStyle w:val="Normal"/>
        <w:spacing w:before="0" w:after="0"/>
        <w:contextualSpacing/>
        <w:jc w:val="right"/>
        <w:rPr>
          <w:color w:val="auto"/>
          <w:shd w:fill="auto" w:val="clear"/>
        </w:rPr>
      </w:pPr>
      <w:r>
        <w:rPr>
          <w:color w:val="000000"/>
          <w:sz w:val="28"/>
          <w:szCs w:val="28"/>
          <w:shd w:fill="auto" w:val="clear"/>
        </w:rPr>
        <w:t xml:space="preserve">Ивановской области </w:t>
      </w:r>
    </w:p>
    <w:p>
      <w:pPr>
        <w:pStyle w:val="Normal"/>
        <w:spacing w:before="0" w:after="0"/>
        <w:contextualSpacing/>
        <w:jc w:val="right"/>
        <w:rPr>
          <w:color w:val="auto"/>
          <w:shd w:fill="auto" w:val="clear"/>
        </w:rPr>
      </w:pPr>
      <w:r>
        <w:rPr>
          <w:color w:val="000000"/>
          <w:sz w:val="28"/>
          <w:szCs w:val="28"/>
          <w:shd w:fill="auto" w:val="clear"/>
        </w:rPr>
        <w:t xml:space="preserve">по государственной охране </w:t>
      </w:r>
    </w:p>
    <w:p>
      <w:pPr>
        <w:pStyle w:val="Normal"/>
        <w:spacing w:before="0" w:after="0"/>
        <w:contextualSpacing/>
        <w:jc w:val="right"/>
        <w:rPr>
          <w:color w:val="auto"/>
          <w:shd w:fill="auto" w:val="clear"/>
        </w:rPr>
      </w:pPr>
      <w:r>
        <w:rPr>
          <w:color w:val="000000"/>
          <w:sz w:val="28"/>
          <w:szCs w:val="28"/>
          <w:shd w:fill="auto" w:val="clear"/>
        </w:rPr>
        <w:t>объектов культурного наследия</w:t>
      </w:r>
    </w:p>
    <w:p>
      <w:pPr>
        <w:pStyle w:val="Normal"/>
        <w:spacing w:before="0" w:after="0"/>
        <w:contextualSpacing/>
        <w:jc w:val="right"/>
        <w:rPr>
          <w:color w:val="auto"/>
          <w:shd w:fill="auto" w:val="clear"/>
        </w:rPr>
      </w:pPr>
      <w:r>
        <w:rPr>
          <w:color w:val="000000"/>
          <w:sz w:val="28"/>
          <w:szCs w:val="28"/>
          <w:shd w:fill="auto" w:val="clear"/>
        </w:rPr>
        <w:t xml:space="preserve">от </w:t>
      </w:r>
      <w:r>
        <w:rPr>
          <w:rFonts w:eastAsia="Times New Roman" w:cs="Times New Roman"/>
          <w:color w:val="000000"/>
          <w:kern w:val="0"/>
          <w:sz w:val="28"/>
          <w:szCs w:val="28"/>
          <w:u w:val="single"/>
          <w:shd w:fill="auto" w:val="clear"/>
          <w:lang w:val="ru-RU" w:eastAsia="ar-SA" w:bidi="ar-SA"/>
        </w:rPr>
        <w:t>____________</w:t>
      </w:r>
      <w:r>
        <w:rPr>
          <w:rFonts w:eastAsia="Times New Roman" w:cs="Times New Roman"/>
          <w:color w:val="000000"/>
          <w:kern w:val="0"/>
          <w:sz w:val="28"/>
          <w:szCs w:val="28"/>
          <w:shd w:fill="auto" w:val="clear"/>
          <w:lang w:val="ru-RU" w:eastAsia="ar-SA" w:bidi="ar-SA"/>
        </w:rPr>
        <w:t xml:space="preserve"> </w:t>
      </w:r>
      <w:r>
        <w:rPr>
          <w:color w:val="000000"/>
          <w:sz w:val="28"/>
          <w:szCs w:val="28"/>
          <w:shd w:fill="auto" w:val="clear"/>
        </w:rPr>
        <w:t>№ ______</w:t>
      </w:r>
      <w:r>
        <w:rPr>
          <w:color w:val="000000"/>
          <w:sz w:val="28"/>
          <w:szCs w:val="28"/>
          <w:u w:val="single"/>
          <w:shd w:fill="auto" w:val="clear"/>
        </w:rPr>
        <w:t>-о</w:t>
      </w:r>
    </w:p>
    <w:p>
      <w:pPr>
        <w:pStyle w:val="Normal"/>
        <w:spacing w:before="0" w:after="0"/>
        <w:contextualSpacing/>
        <w:jc w:val="center"/>
        <w:rPr>
          <w:sz w:val="28"/>
          <w:szCs w:val="28"/>
          <w:shd w:fill="auto" w:val="clear"/>
        </w:rPr>
      </w:pPr>
      <w:r>
        <w:rPr>
          <w:sz w:val="28"/>
          <w:szCs w:val="28"/>
          <w:shd w:fill="auto" w:val="clear"/>
        </w:rPr>
      </w:r>
    </w:p>
    <w:p>
      <w:pPr>
        <w:pStyle w:val="Normal"/>
        <w:spacing w:before="0" w:after="0"/>
        <w:contextualSpacing/>
        <w:jc w:val="right"/>
        <w:rPr>
          <w:rFonts w:ascii="Tinos" w:hAnsi="Tinos"/>
          <w:color w:val="000000"/>
          <w:shd w:fill="auto" w:val="clear"/>
        </w:rPr>
      </w:pPr>
      <w:r>
        <w:rPr>
          <w:rFonts w:ascii="Tinos" w:hAnsi="Tinos"/>
          <w:color w:val="000000"/>
          <w:shd w:fill="auto" w:val="clear"/>
        </w:rPr>
      </w:r>
    </w:p>
    <w:p>
      <w:pPr>
        <w:pStyle w:val="ConsPlusTitle"/>
        <w:widowControl w:val="false"/>
        <w:numPr>
          <w:ilvl w:val="0"/>
          <w:numId w:val="0"/>
        </w:numPr>
        <w:spacing w:lineRule="auto" w:line="276"/>
        <w:ind w:left="0" w:right="0" w:firstLine="709"/>
        <w:jc w:val="center"/>
        <w:outlineLvl w:val="0"/>
        <w:rPr/>
      </w:pPr>
      <w:r>
        <w:rPr>
          <w:rFonts w:cs="Times New Roman" w:ascii="Tinos" w:hAnsi="Tinos"/>
          <w:b w:val="false"/>
          <w:bCs w:val="false"/>
          <w:i w:val="false"/>
          <w:strike w:val="false"/>
          <w:dstrike w:val="false"/>
          <w:color w:val="000000"/>
          <w:sz w:val="28"/>
          <w:szCs w:val="28"/>
          <w:u w:val="none"/>
          <w:shd w:fill="auto" w:val="clear"/>
        </w:rPr>
        <w:t xml:space="preserve">Порядок передачи уполномоченными органами местного </w:t>
        <w:br/>
        <w:t xml:space="preserve">самоуправления муниципальных образований </w:t>
      </w:r>
      <w:r>
        <w:rPr>
          <w:rFonts w:eastAsia="Times New Roman" w:cs="Times New Roman" w:ascii="Tinos" w:hAnsi="Tinos"/>
          <w:b w:val="false"/>
          <w:bCs w:val="false"/>
          <w:i w:val="false"/>
          <w:strike w:val="false"/>
          <w:dstrike w:val="false"/>
          <w:color w:val="000000"/>
          <w:kern w:val="0"/>
          <w:sz w:val="28"/>
          <w:szCs w:val="28"/>
          <w:u w:val="none"/>
          <w:shd w:fill="auto" w:val="clear"/>
          <w:lang w:val="ru-RU" w:eastAsia="ru-RU" w:bidi="ar-SA"/>
        </w:rPr>
        <w:t>Ивановской области</w:t>
      </w:r>
      <w:r>
        <w:rPr>
          <w:rFonts w:cs="Times New Roman" w:ascii="Tinos" w:hAnsi="Tinos"/>
          <w:b w:val="false"/>
          <w:bCs w:val="false"/>
          <w:i w:val="false"/>
          <w:strike w:val="false"/>
          <w:dstrike w:val="false"/>
          <w:color w:val="000000"/>
          <w:sz w:val="28"/>
          <w:szCs w:val="28"/>
          <w:u w:val="none"/>
          <w:shd w:fill="auto" w:val="clear"/>
        </w:rPr>
        <w:t xml:space="preserve"> </w:t>
      </w:r>
      <w:r>
        <w:rPr>
          <w:rFonts w:eastAsia="Times New Roman" w:cs="Times New Roman" w:ascii="Tinos" w:hAnsi="Tinos"/>
          <w:b w:val="false"/>
          <w:bCs w:val="false"/>
          <w:i w:val="false"/>
          <w:strike w:val="false"/>
          <w:dstrike w:val="false"/>
          <w:color w:val="000000"/>
          <w:kern w:val="0"/>
          <w:sz w:val="28"/>
          <w:szCs w:val="28"/>
          <w:u w:val="none"/>
          <w:shd w:fill="auto" w:val="clear"/>
          <w:lang w:val="ru-RU" w:eastAsia="ru-RU" w:bidi="ar-SA"/>
        </w:rPr>
        <w:t>комитету Ивановской области по</w:t>
      </w:r>
      <w:r>
        <w:rPr>
          <w:rFonts w:cs="Times New Roman" w:ascii="Tinos" w:hAnsi="Tinos"/>
          <w:b w:val="false"/>
          <w:bCs w:val="false"/>
          <w:i w:val="false"/>
          <w:strike w:val="false"/>
          <w:dstrike w:val="false"/>
          <w:color w:val="000000"/>
          <w:sz w:val="28"/>
          <w:szCs w:val="28"/>
          <w:u w:val="none"/>
          <w:shd w:fill="auto" w:val="clear"/>
        </w:rPr>
        <w:t xml:space="preserve"> государственной охране объектов культурного наследия сведений об объектах культурного наследия местного (муниципального) значения, предусмотренных Федеральным законом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pPr>
        <w:pStyle w:val="ConsPlusTitle"/>
        <w:widowControl w:val="false"/>
        <w:numPr>
          <w:ilvl w:val="0"/>
          <w:numId w:val="0"/>
        </w:numPr>
        <w:spacing w:lineRule="auto" w:line="276"/>
        <w:ind w:left="0" w:right="0" w:firstLine="709"/>
        <w:jc w:val="center"/>
        <w:outlineLvl w:val="0"/>
        <w:rPr>
          <w:rFonts w:ascii="Tinos" w:hAnsi="Tinos" w:cs="Times New Roman"/>
          <w:b w:val="false"/>
          <w:b w:val="false"/>
          <w:bCs w:val="false"/>
          <w:i w:val="false"/>
          <w:i w:val="false"/>
          <w:strike w:val="false"/>
          <w:dstrike w:val="false"/>
          <w:color w:val="auto"/>
          <w:u w:val="none"/>
          <w:shd w:fill="auto" w:val="clear"/>
        </w:rPr>
      </w:pPr>
      <w:r>
        <w:rPr>
          <w:rFonts w:cs="Times New Roman" w:ascii="Tinos" w:hAnsi="Tinos"/>
          <w:b w:val="false"/>
          <w:bCs w:val="false"/>
          <w:i w:val="false"/>
          <w:strike w:val="false"/>
          <w:dstrike w:val="false"/>
          <w:color w:val="000000"/>
          <w:u w:val="none"/>
          <w:shd w:fill="auto" w:val="clear"/>
        </w:rPr>
      </w:r>
    </w:p>
    <w:p>
      <w:pPr>
        <w:pStyle w:val="ConsPlusTitle"/>
        <w:widowControl w:val="false"/>
        <w:numPr>
          <w:ilvl w:val="0"/>
          <w:numId w:val="0"/>
        </w:numPr>
        <w:spacing w:lineRule="auto" w:line="276"/>
        <w:ind w:left="0" w:right="0" w:firstLine="709"/>
        <w:jc w:val="center"/>
        <w:outlineLvl w:val="0"/>
        <w:rPr/>
      </w:pPr>
      <w:r>
        <w:rPr>
          <w:rFonts w:cs="Times New Roman" w:ascii="Tinos" w:hAnsi="Tinos"/>
          <w:b w:val="false"/>
          <w:bCs w:val="false"/>
          <w:i w:val="false"/>
          <w:strike w:val="false"/>
          <w:dstrike w:val="false"/>
          <w:color w:val="000000"/>
          <w:sz w:val="28"/>
          <w:szCs w:val="28"/>
          <w:u w:val="none"/>
          <w:shd w:fill="auto" w:val="clear"/>
        </w:rPr>
        <w:t>1. Общие положения</w:t>
      </w:r>
    </w:p>
    <w:p>
      <w:pPr>
        <w:pStyle w:val="Normal"/>
        <w:numPr>
          <w:ilvl w:val="0"/>
          <w:numId w:val="0"/>
        </w:numPr>
        <w:spacing w:lineRule="auto" w:line="276"/>
        <w:ind w:left="0" w:hanging="0"/>
        <w:jc w:val="center"/>
        <w:outlineLvl w:val="0"/>
        <w:rPr>
          <w:rFonts w:ascii="Tinos" w:hAnsi="Tinos"/>
          <w:color w:val="000000"/>
        </w:rPr>
      </w:pPr>
      <w:r>
        <w:rPr>
          <w:rFonts w:ascii="Tinos" w:hAnsi="Tinos"/>
          <w:color w:val="000000"/>
        </w:rPr>
      </w:r>
    </w:p>
    <w:p>
      <w:pPr>
        <w:pStyle w:val="Normal"/>
        <w:numPr>
          <w:ilvl w:val="0"/>
          <w:numId w:val="0"/>
        </w:numPr>
        <w:spacing w:lineRule="auto" w:line="276"/>
        <w:ind w:left="0" w:hanging="0"/>
        <w:jc w:val="both"/>
        <w:outlineLvl w:val="0"/>
        <w:rPr/>
      </w:pPr>
      <w:r>
        <w:rPr/>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 xml:space="preserve">1. Настоящий Порядок передачи уполномоченными органами местного самоуправления муниципальных образований </w:t>
      </w:r>
      <w:r>
        <w:rPr>
          <w:rFonts w:eastAsia="Times New Roman" w:cs="Times New Roman" w:ascii="Tinos" w:hAnsi="Tinos"/>
          <w:b w:val="false"/>
          <w:bCs w:val="false"/>
          <w:i w:val="false"/>
          <w:strike w:val="false"/>
          <w:dstrike w:val="false"/>
          <w:color w:val="000000"/>
          <w:kern w:val="0"/>
          <w:sz w:val="28"/>
          <w:szCs w:val="28"/>
          <w:u w:val="none"/>
          <w:shd w:fill="auto" w:val="clear"/>
          <w:lang w:val="ru-RU" w:eastAsia="ru-RU" w:bidi="ar-SA"/>
        </w:rPr>
        <w:t>Ивановской области</w:t>
      </w:r>
      <w:r>
        <w:rPr>
          <w:rFonts w:cs="Times New Roman" w:ascii="Tinos" w:hAnsi="Tinos"/>
          <w:b w:val="false"/>
          <w:bCs w:val="false"/>
          <w:i w:val="false"/>
          <w:strike w:val="false"/>
          <w:dstrike w:val="false"/>
          <w:color w:val="000000"/>
          <w:sz w:val="28"/>
          <w:szCs w:val="28"/>
          <w:u w:val="none"/>
          <w:shd w:fill="auto" w:val="clear"/>
        </w:rPr>
        <w:t xml:space="preserve"> </w:t>
      </w:r>
      <w:r>
        <w:rPr>
          <w:rFonts w:eastAsia="Times New Roman" w:cs="Times New Roman" w:ascii="Tinos" w:hAnsi="Tinos"/>
          <w:b w:val="false"/>
          <w:bCs w:val="false"/>
          <w:i w:val="false"/>
          <w:strike w:val="false"/>
          <w:dstrike w:val="false"/>
          <w:color w:val="000000"/>
          <w:kern w:val="0"/>
          <w:sz w:val="28"/>
          <w:szCs w:val="28"/>
          <w:u w:val="none"/>
          <w:shd w:fill="auto" w:val="clear"/>
          <w:lang w:val="ru-RU" w:eastAsia="ru-RU" w:bidi="ar-SA"/>
        </w:rPr>
        <w:t>комитету Ивановской области по</w:t>
      </w:r>
      <w:r>
        <w:rPr>
          <w:rFonts w:cs="Times New Roman" w:ascii="Tinos" w:hAnsi="Tinos"/>
          <w:b w:val="false"/>
          <w:bCs w:val="false"/>
          <w:i w:val="false"/>
          <w:strike w:val="false"/>
          <w:dstrike w:val="false"/>
          <w:color w:val="000000"/>
          <w:sz w:val="28"/>
          <w:szCs w:val="28"/>
          <w:u w:val="none"/>
          <w:shd w:fill="auto" w:val="clear"/>
        </w:rPr>
        <w:t xml:space="preserve"> государственной охране объектов культурного наследия сведений об объектах культурного наследия местного (муниципального) значения, предусмотренных Федеральным законом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r>
        <w:rPr>
          <w:rFonts w:ascii="Tinos" w:hAnsi="Tinos"/>
          <w:b w:val="false"/>
          <w:bCs w:val="false"/>
          <w:i w:val="false"/>
          <w:strike w:val="false"/>
          <w:dstrike w:val="false"/>
          <w:color w:val="000000"/>
          <w:sz w:val="28"/>
          <w:szCs w:val="28"/>
          <w:u w:val="none"/>
        </w:rPr>
        <w:t xml:space="preserve"> (далее – Порядок) определяет процедуру предоставления уполномоченными органами местного самоуправления муниципальных образований </w:t>
      </w:r>
      <w:r>
        <w:rPr>
          <w:rFonts w:eastAsia="Times New Roman" w:cs="Times New Roman" w:ascii="Tinos" w:hAnsi="Tinos"/>
          <w:b w:val="false"/>
          <w:bCs w:val="false"/>
          <w:i w:val="false"/>
          <w:strike w:val="false"/>
          <w:dstrike w:val="false"/>
          <w:color w:val="000000"/>
          <w:kern w:val="0"/>
          <w:sz w:val="28"/>
          <w:szCs w:val="28"/>
          <w:u w:val="none"/>
          <w:shd w:fill="auto" w:val="clear"/>
          <w:lang w:val="ru-RU" w:eastAsia="ru-RU" w:bidi="ar-SA"/>
        </w:rPr>
        <w:t>Ивановской области</w:t>
      </w:r>
      <w:r>
        <w:rPr>
          <w:rFonts w:ascii="Tinos" w:hAnsi="Tinos"/>
          <w:b w:val="false"/>
          <w:bCs w:val="false"/>
          <w:i w:val="false"/>
          <w:strike w:val="false"/>
          <w:dstrike w:val="false"/>
          <w:color w:val="000000"/>
          <w:sz w:val="28"/>
          <w:szCs w:val="28"/>
          <w:u w:val="none"/>
        </w:rPr>
        <w:t xml:space="preserve"> (далее – орган местного самоуправления) в </w:t>
      </w:r>
      <w:r>
        <w:rPr>
          <w:rFonts w:ascii="Tinos" w:hAnsi="Tinos"/>
          <w:b w:val="false"/>
          <w:bCs w:val="false"/>
          <w:i w:val="false"/>
          <w:strike w:val="false"/>
          <w:dstrike w:val="false"/>
          <w:color w:val="000000"/>
          <w:sz w:val="28"/>
          <w:szCs w:val="28"/>
          <w:u w:val="none"/>
        </w:rPr>
        <w:t xml:space="preserve">комитет </w:t>
      </w:r>
      <w:r>
        <w:rPr>
          <w:rFonts w:eastAsia="Times New Roman" w:cs="Times New Roman" w:ascii="Tinos" w:hAnsi="Tinos"/>
          <w:b w:val="false"/>
          <w:bCs w:val="false"/>
          <w:i w:val="false"/>
          <w:strike w:val="false"/>
          <w:dstrike w:val="false"/>
          <w:color w:val="000000"/>
          <w:kern w:val="0"/>
          <w:sz w:val="28"/>
          <w:szCs w:val="28"/>
          <w:u w:val="none"/>
          <w:shd w:fill="auto" w:val="clear"/>
          <w:lang w:val="ru-RU" w:eastAsia="ru-RU" w:bidi="ar-SA"/>
        </w:rPr>
        <w:t>Ивановской области по</w:t>
      </w:r>
      <w:r>
        <w:rPr>
          <w:rFonts w:cs="Times New Roman" w:ascii="Tinos" w:hAnsi="Tinos"/>
          <w:b w:val="false"/>
          <w:bCs w:val="false"/>
          <w:i w:val="false"/>
          <w:strike w:val="false"/>
          <w:dstrike w:val="false"/>
          <w:color w:val="000000"/>
          <w:sz w:val="28"/>
          <w:szCs w:val="28"/>
          <w:u w:val="none"/>
          <w:shd w:fill="auto" w:val="clear"/>
        </w:rPr>
        <w:t xml:space="preserve"> государственной охране объектов культурного наследия</w:t>
      </w:r>
      <w:r>
        <w:rPr>
          <w:rFonts w:ascii="Tinos" w:hAnsi="Tinos"/>
          <w:b w:val="false"/>
          <w:bCs w:val="false"/>
          <w:i w:val="false"/>
          <w:strike w:val="false"/>
          <w:dstrike w:val="false"/>
          <w:color w:val="000000"/>
          <w:sz w:val="28"/>
          <w:szCs w:val="28"/>
          <w:u w:val="none"/>
        </w:rPr>
        <w:t xml:space="preserve"> (далее –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t>) сведений об объектах культурного наследия местного (муниципального) значения, предусмотренных подпунктами «д» и «е» пункта 22 части 3 статьи 52 Федерального закона от 13.07.2015 № 225-ФЗ</w:t>
        <w:br/>
        <w:t xml:space="preserve">«О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Федеральный закон № 225-ФЗ), а также механизм взаимодействия органов местного самоуправления с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комитетом</w:t>
      </w:r>
      <w:r>
        <w:rPr>
          <w:rFonts w:ascii="Tinos" w:hAnsi="Tinos"/>
          <w:b w:val="false"/>
          <w:bCs w:val="false"/>
          <w:i w:val="false"/>
          <w:strike w:val="false"/>
          <w:dstrike w:val="false"/>
          <w:color w:val="000000"/>
          <w:sz w:val="28"/>
          <w:szCs w:val="28"/>
          <w:u w:val="none"/>
        </w:rPr>
        <w:t xml:space="preserve"> в целях обеспечения возможности размещения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комитетом</w:t>
      </w:r>
      <w:r>
        <w:rPr>
          <w:rFonts w:ascii="Tinos" w:hAnsi="Tinos"/>
          <w:b w:val="false"/>
          <w:bCs w:val="false"/>
          <w:i w:val="false"/>
          <w:strike w:val="false"/>
          <w:dstrike w:val="false"/>
          <w:color w:val="000000"/>
          <w:sz w:val="28"/>
          <w:szCs w:val="28"/>
          <w:u w:val="none"/>
        </w:rPr>
        <w:t xml:space="preserve"> указанных сведений в Единой информационной системе жилищного строительства (далее – ЕИСЖС).</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 xml:space="preserve">2. Органы местного самоуправления представляют в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t xml:space="preserve"> сведения об объектах культурного наследия местного (муниципального)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соответствующих требованиям, указанным в части 7.9 статьи 5.2 Федерального закона № 225-ФЗ, подлежащих внесению в ЕИСЖС.</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3. Представление сведений об объектах культурного наследия местного (муниципального) значения, подлежащих внесению в ЕИСЖС, осуществляется органами местного самоуправления на безвозмездной основе.</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 xml:space="preserve">4. Информационное взаимодействие между органами местного самоуправления и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комитетом</w:t>
      </w:r>
      <w:r>
        <w:rPr>
          <w:rFonts w:ascii="Tinos" w:hAnsi="Tinos"/>
          <w:b w:val="false"/>
          <w:bCs w:val="false"/>
          <w:i w:val="false"/>
          <w:strike w:val="false"/>
          <w:dstrike w:val="false"/>
          <w:color w:val="000000"/>
          <w:sz w:val="28"/>
          <w:szCs w:val="28"/>
          <w:u w:val="none"/>
        </w:rPr>
        <w:t xml:space="preserve"> осуществляется с соблюдением требований законодательства Российской Федерации о персональных данных, информации, информационных технологиях и о защите информации.</w:t>
      </w:r>
    </w:p>
    <w:p>
      <w:pPr>
        <w:pStyle w:val="Normal"/>
        <w:numPr>
          <w:ilvl w:val="0"/>
          <w:numId w:val="0"/>
        </w:numPr>
        <w:spacing w:lineRule="auto" w:line="276"/>
        <w:ind w:left="0" w:hanging="0"/>
        <w:jc w:val="both"/>
        <w:outlineLvl w:val="0"/>
        <w:rPr>
          <w:rFonts w:ascii="Tinos" w:hAnsi="Tinos"/>
          <w:color w:val="000000"/>
        </w:rPr>
      </w:pPr>
      <w:r>
        <w:rPr>
          <w:rFonts w:ascii="Tinos" w:hAnsi="Tinos"/>
          <w:color w:val="000000"/>
        </w:rPr>
      </w:r>
    </w:p>
    <w:p>
      <w:pPr>
        <w:pStyle w:val="Normal"/>
        <w:numPr>
          <w:ilvl w:val="0"/>
          <w:numId w:val="0"/>
        </w:numPr>
        <w:spacing w:lineRule="auto" w:line="276"/>
        <w:ind w:left="0" w:hanging="0"/>
        <w:jc w:val="center"/>
        <w:outlineLvl w:val="0"/>
        <w:rPr/>
      </w:pPr>
      <w:r>
        <w:rPr>
          <w:rFonts w:ascii="Tinos" w:hAnsi="Tinos"/>
          <w:b w:val="false"/>
          <w:bCs w:val="false"/>
          <w:i w:val="false"/>
          <w:strike w:val="false"/>
          <w:dstrike w:val="false"/>
          <w:color w:val="000000"/>
          <w:sz w:val="28"/>
          <w:szCs w:val="28"/>
          <w:u w:val="none"/>
        </w:rPr>
        <w:t>II. Состав и форма представляемых сведений об объектах культурного наследия местного (муниципального) значения, подлежащих внесению в ЕИСЖС</w:t>
      </w:r>
    </w:p>
    <w:p>
      <w:pPr>
        <w:pStyle w:val="Normal"/>
        <w:numPr>
          <w:ilvl w:val="0"/>
          <w:numId w:val="0"/>
        </w:numPr>
        <w:spacing w:lineRule="auto" w:line="276"/>
        <w:ind w:left="0" w:hanging="0"/>
        <w:jc w:val="both"/>
        <w:outlineLvl w:val="0"/>
        <w:rPr>
          <w:rFonts w:ascii="Tinos" w:hAnsi="Tinos"/>
          <w:color w:val="000000"/>
        </w:rPr>
      </w:pPr>
      <w:r>
        <w:rPr>
          <w:rFonts w:ascii="Tinos" w:hAnsi="Tinos"/>
          <w:color w:val="000000"/>
        </w:rPr>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 xml:space="preserve">5. В соответствии с подпунктами «д» и «е» пункта 2.2 части 3 статьи 5.2 Федерального закона № 225-ФЗ в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t xml:space="preserve"> предоставляются:</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 xml:space="preserve">1) сведения об акте приемки выполненных работ по сохранению объекта культурного наследия, а в случае, если указанные работы затрагивали конструктивные и другие характеристики надежности и безопасности объекта культурного наследия, о разрешении на ввод объекта в эксплуатацию; </w:t>
        <w:br/>
        <w:tab/>
        <w:t>2) сведения о состоянии объекта культурного наследия, в том числе электронные образы акта технического состояния объекта культурного наследия, составленного в целях определения мероприятий по обеспечению сохранности объекта культурного наследия, а также материалы фотофиксации состояния объекта культурного наследия (далее – сведения).</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6. Сведения предоставляются органами местного самоуправления</w:t>
        <w:br/>
        <w:t xml:space="preserve">в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t xml:space="preserve"> в форме электронных документов с сопроводительным письмом, подписанным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руководителем</w:t>
      </w:r>
      <w:r>
        <w:rPr>
          <w:rFonts w:ascii="Tinos" w:hAnsi="Tinos"/>
          <w:b w:val="false"/>
          <w:bCs w:val="false"/>
          <w:i w:val="false"/>
          <w:strike w:val="false"/>
          <w:dstrike w:val="false"/>
          <w:color w:val="000000"/>
          <w:sz w:val="28"/>
          <w:szCs w:val="28"/>
          <w:u w:val="none"/>
        </w:rPr>
        <w:t xml:space="preserve"> органа местного самоуправления, посредством системы электронного документооборота. </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 xml:space="preserve">7. Передача в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t xml:space="preserve"> сведений осуществляется в виде электронных файлов форматов .xml, .json, .docx, .xlsx, .txt, .mssql, .dump, .rar, .zip, .tar, .jpeg, .jpg, .png, .tiff, .pdf, .svg, .sig, сведения и (или) свойства которых позволяют определить документ, направленный в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t>.</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 xml:space="preserve">8. Органы местного самоуправления предоставляют в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br/>
        <w:t>с сопроводительным письмом следующие документы:</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1) электронный образ (сканированн</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ый</w:t>
      </w:r>
      <w:r>
        <w:rPr>
          <w:rFonts w:ascii="Tinos" w:hAnsi="Tinos"/>
          <w:b w:val="false"/>
          <w:bCs w:val="false"/>
          <w:i w:val="false"/>
          <w:strike w:val="false"/>
          <w:dstrike w:val="false"/>
          <w:color w:val="000000"/>
          <w:sz w:val="28"/>
          <w:szCs w:val="28"/>
          <w:u w:val="none"/>
        </w:rPr>
        <w:t xml:space="preserve"> бумажн</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ый</w:t>
      </w:r>
      <w:r>
        <w:rPr>
          <w:rFonts w:ascii="Tinos" w:hAnsi="Tinos"/>
          <w:b w:val="false"/>
          <w:bCs w:val="false"/>
          <w:i w:val="false"/>
          <w:strike w:val="false"/>
          <w:dstrike w:val="false"/>
          <w:color w:val="000000"/>
          <w:sz w:val="28"/>
          <w:szCs w:val="28"/>
          <w:u w:val="none"/>
        </w:rPr>
        <w:t xml:space="preserve"> документ) акта приемки выполненных работ по сохранению объекта культурного наследия местного (муниципального) значения, в соответствии с формой, утвержденной приказом Министерства культуры Российской Федерации от 25.06.2015</w:t>
        <w:br/>
        <w:t>№ 1840 «Об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и его формы»</w:t>
        <w:br/>
      </w:r>
      <w:r>
        <w:rPr>
          <w:rFonts w:ascii="Tinos" w:hAnsi="Tinos"/>
          <w:b w:val="false"/>
          <w:bCs w:val="false"/>
          <w:i w:val="false"/>
          <w:strike w:val="false"/>
          <w:dstrike w:val="false"/>
          <w:color w:val="000000"/>
          <w:sz w:val="28"/>
          <w:szCs w:val="28"/>
          <w:u w:val="none"/>
        </w:rPr>
        <w:t>(далее - акт приемки выполненных работ по сохранению объекта культурного наследия)</w:t>
      </w:r>
      <w:r>
        <w:rPr>
          <w:rFonts w:ascii="Tinos" w:hAnsi="Tinos"/>
          <w:b w:val="false"/>
          <w:bCs w:val="false"/>
          <w:i w:val="false"/>
          <w:strike w:val="false"/>
          <w:dstrike w:val="false"/>
          <w:color w:val="000000"/>
          <w:sz w:val="28"/>
          <w:szCs w:val="28"/>
          <w:u w:val="none"/>
        </w:rPr>
        <w:t xml:space="preserve">; </w:t>
        <w:br/>
        <w:tab/>
        <w:t>2) электронный образ (сканированн</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ый</w:t>
      </w:r>
      <w:r>
        <w:rPr>
          <w:rFonts w:ascii="Tinos" w:hAnsi="Tinos"/>
          <w:b w:val="false"/>
          <w:bCs w:val="false"/>
          <w:i w:val="false"/>
          <w:strike w:val="false"/>
          <w:dstrike w:val="false"/>
          <w:color w:val="000000"/>
          <w:sz w:val="28"/>
          <w:szCs w:val="28"/>
          <w:u w:val="none"/>
        </w:rPr>
        <w:t xml:space="preserve"> бумажн</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ый</w:t>
      </w:r>
      <w:r>
        <w:rPr>
          <w:rFonts w:ascii="Tinos" w:hAnsi="Tinos"/>
          <w:b w:val="false"/>
          <w:bCs w:val="false"/>
          <w:i w:val="false"/>
          <w:strike w:val="false"/>
          <w:dstrike w:val="false"/>
          <w:color w:val="000000"/>
          <w:sz w:val="28"/>
          <w:szCs w:val="28"/>
          <w:u w:val="none"/>
        </w:rPr>
        <w:t xml:space="preserve"> документ) разрешения</w:t>
        <w:br/>
        <w:t xml:space="preserve">на ввод в эксплуатацию в случае, если работы по сохранению объекта культурного наследия местного (муниципального) значения затрагивали конструктивные и иные характеристики надежности и безопасности объекта </w:t>
      </w:r>
      <w:r>
        <w:rPr>
          <w:rFonts w:ascii="Tinos" w:hAnsi="Tinos"/>
          <w:b w:val="false"/>
          <w:bCs w:val="false"/>
          <w:i w:val="false"/>
          <w:strike w:val="false"/>
          <w:dstrike w:val="false"/>
          <w:color w:val="000000"/>
          <w:sz w:val="28"/>
          <w:szCs w:val="28"/>
          <w:u w:val="none"/>
        </w:rPr>
        <w:t>(далее - разрешения на ввод</w:t>
        <w:br/>
        <w:t>в эксплуатацию)</w:t>
      </w:r>
      <w:r>
        <w:rPr>
          <w:rFonts w:ascii="Tinos" w:hAnsi="Tinos"/>
          <w:b w:val="false"/>
          <w:bCs w:val="false"/>
          <w:i w:val="false"/>
          <w:strike w:val="false"/>
          <w:dstrike w:val="false"/>
          <w:color w:val="000000"/>
          <w:sz w:val="28"/>
          <w:szCs w:val="28"/>
          <w:u w:val="none"/>
        </w:rPr>
        <w:t>;</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3) электронный образ (сканированн</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ый</w:t>
      </w:r>
      <w:r>
        <w:rPr>
          <w:rFonts w:ascii="Tinos" w:hAnsi="Tinos"/>
          <w:b w:val="false"/>
          <w:bCs w:val="false"/>
          <w:i w:val="false"/>
          <w:strike w:val="false"/>
          <w:dstrike w:val="false"/>
          <w:color w:val="000000"/>
          <w:sz w:val="28"/>
          <w:szCs w:val="28"/>
          <w:u w:val="none"/>
        </w:rPr>
        <w:t xml:space="preserve"> бумажн</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ый</w:t>
      </w:r>
      <w:r>
        <w:rPr>
          <w:rFonts w:ascii="Tinos" w:hAnsi="Tinos"/>
          <w:b w:val="false"/>
          <w:bCs w:val="false"/>
          <w:i w:val="false"/>
          <w:strike w:val="false"/>
          <w:dstrike w:val="false"/>
          <w:color w:val="000000"/>
          <w:sz w:val="28"/>
          <w:szCs w:val="28"/>
          <w:u w:val="none"/>
        </w:rPr>
        <w:t xml:space="preserve"> документ) акта технического состояния в соответствии с формой, утвержденной приказом Министерства культуры Российской Федерации от 14.11.2025 № 2077</w:t>
        <w:br/>
        <w:t xml:space="preserve">«Об утверждении формы акта технического состояния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(памятника истории и культуры) народов Российской Федерации» </w:t>
      </w:r>
      <w:r>
        <w:rPr>
          <w:rFonts w:ascii="Tinos" w:hAnsi="Tinos"/>
          <w:b w:val="false"/>
          <w:bCs w:val="false"/>
          <w:i w:val="false"/>
          <w:strike w:val="false"/>
          <w:dstrike w:val="false"/>
          <w:color w:val="000000"/>
          <w:sz w:val="28"/>
          <w:szCs w:val="28"/>
          <w:u w:val="none"/>
        </w:rPr>
        <w:t>(далее - акт технического состояния объекта культурного наследия)</w:t>
      </w:r>
      <w:r>
        <w:rPr>
          <w:rFonts w:ascii="Tinos" w:hAnsi="Tinos"/>
          <w:b w:val="false"/>
          <w:bCs w:val="false"/>
          <w:i w:val="false"/>
          <w:strike w:val="false"/>
          <w:dstrike w:val="false"/>
          <w:color w:val="000000"/>
          <w:sz w:val="28"/>
          <w:szCs w:val="28"/>
          <w:u w:val="none"/>
        </w:rPr>
        <w:t>.</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9. Материалы фотофиксации объекта культурного наследия местного (муниципального) значения предоставляются в виде цифровых фотографий в количестве не менее 5 штук в формате .jpeg, .jpg или .png.</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 xml:space="preserve">Фотографии должны быть выполнены в цветном исполнении при разрешении не менее 300 точек на дюйм, отражающими техническое состояние объекта на дату составления акта технического состояния объекта культурного наследия, подписания акта приемки выполненных работ по сохранению объекта культурного наследия или выдачи разрешения на ввод в эксплуатацию в случае, если работы по сохранению объекта культурного наследия местного (муниципального) значения затрагивали конструктивные и иные характеристики надежности и безопасности объекта. </w:t>
      </w:r>
    </w:p>
    <w:p>
      <w:pPr>
        <w:pStyle w:val="Normal"/>
        <w:numPr>
          <w:ilvl w:val="0"/>
          <w:numId w:val="0"/>
        </w:numPr>
        <w:spacing w:lineRule="auto" w:line="276"/>
        <w:ind w:left="0" w:hanging="0"/>
        <w:jc w:val="both"/>
        <w:outlineLvl w:val="0"/>
        <w:rPr/>
      </w:pPr>
      <w:r>
        <w:rPr/>
      </w:r>
    </w:p>
    <w:p>
      <w:pPr>
        <w:pStyle w:val="Normal"/>
        <w:numPr>
          <w:ilvl w:val="0"/>
          <w:numId w:val="0"/>
        </w:numPr>
        <w:spacing w:lineRule="auto" w:line="276"/>
        <w:ind w:left="0" w:hanging="0"/>
        <w:jc w:val="center"/>
        <w:outlineLvl w:val="0"/>
        <w:rPr/>
      </w:pPr>
      <w:r>
        <w:rPr>
          <w:rFonts w:ascii="Tinos" w:hAnsi="Tinos"/>
          <w:b w:val="false"/>
          <w:bCs w:val="false"/>
          <w:i w:val="false"/>
          <w:strike w:val="false"/>
          <w:dstrike w:val="false"/>
          <w:color w:val="000000"/>
          <w:sz w:val="28"/>
          <w:szCs w:val="28"/>
          <w:u w:val="none"/>
        </w:rPr>
        <w:t>III. Механизм взаимодействия органов местного самоуправления с комитетом</w:t>
      </w:r>
    </w:p>
    <w:p>
      <w:pPr>
        <w:pStyle w:val="Normal"/>
        <w:numPr>
          <w:ilvl w:val="0"/>
          <w:numId w:val="0"/>
        </w:numPr>
        <w:spacing w:lineRule="auto" w:line="276"/>
        <w:ind w:left="0" w:hanging="0"/>
        <w:jc w:val="both"/>
        <w:outlineLvl w:val="0"/>
        <w:rPr/>
      </w:pPr>
      <w:r>
        <w:rPr/>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 xml:space="preserve">10.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О</w:t>
      </w:r>
      <w:r>
        <w:rPr>
          <w:rFonts w:ascii="Tinos" w:hAnsi="Tinos"/>
          <w:b w:val="false"/>
          <w:bCs w:val="false"/>
          <w:i w:val="false"/>
          <w:strike w:val="false"/>
          <w:dstrike w:val="false"/>
          <w:color w:val="000000"/>
          <w:sz w:val="28"/>
          <w:szCs w:val="28"/>
          <w:u w:val="none"/>
        </w:rPr>
        <w:t xml:space="preserve">тветственное должностное лицо органа местного самоуправления </w:t>
      </w:r>
      <w:r>
        <w:rPr>
          <w:rFonts w:eastAsia="Times New Roman" w:cs="Times New Roman" w:ascii="Tinos" w:hAnsi="Tinos"/>
          <w:b w:val="false"/>
          <w:bCs w:val="false"/>
          <w:i w:val="false"/>
          <w:strike w:val="false"/>
          <w:dstrike w:val="false"/>
          <w:color w:val="000000"/>
          <w:kern w:val="0"/>
          <w:sz w:val="28"/>
          <w:szCs w:val="28"/>
          <w:u w:val="none"/>
          <w:shd w:fill="auto" w:val="clear"/>
          <w:lang w:val="ru-RU" w:eastAsia="ar-SA" w:bidi="ar-SA"/>
        </w:rPr>
        <w:t xml:space="preserve">осуществляет формирование и направление в </w:t>
      </w:r>
      <w:r>
        <w:rPr>
          <w:rFonts w:eastAsia="Times New Roman" w:cs="Times New Roman" w:ascii="Tinos" w:hAnsi="Tinos"/>
          <w:b w:val="false"/>
          <w:bCs w:val="false"/>
          <w:i w:val="false"/>
          <w:strike w:val="false"/>
          <w:dstrike w:val="false"/>
          <w:color w:val="000000"/>
          <w:kern w:val="0"/>
          <w:sz w:val="28"/>
          <w:szCs w:val="28"/>
          <w:u w:val="none"/>
          <w:shd w:fill="auto" w:val="clear"/>
          <w:lang w:val="ru-RU" w:eastAsia="ru-RU" w:bidi="ar-SA"/>
        </w:rPr>
        <w:t>комитет</w:t>
      </w:r>
      <w:r>
        <w:rPr>
          <w:rFonts w:ascii="Tinos" w:hAnsi="Tinos"/>
          <w:b w:val="false"/>
          <w:bCs w:val="false"/>
          <w:i w:val="false"/>
          <w:strike w:val="false"/>
          <w:dstrike w:val="false"/>
          <w:color w:val="000000"/>
          <w:sz w:val="28"/>
          <w:szCs w:val="28"/>
          <w:u w:val="none"/>
        </w:rPr>
        <w:t xml:space="preserve"> сведений в течение 1 рабочего дня со дня подписания акта технического состояния объекта культурного наследия, акта приемки выполненных работ по сохранению объекта культурного наследия или выдачи разрешения на ввод в эксплуатацию в электронном виде.</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1</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1</w:t>
      </w:r>
      <w:r>
        <w:rPr>
          <w:rFonts w:ascii="Tinos" w:hAnsi="Tinos"/>
          <w:b w:val="false"/>
          <w:bCs w:val="false"/>
          <w:i w:val="false"/>
          <w:strike w:val="false"/>
          <w:dstrike w:val="false"/>
          <w:color w:val="000000"/>
          <w:sz w:val="28"/>
          <w:szCs w:val="28"/>
          <w:u w:val="none"/>
        </w:rPr>
        <w:t xml:space="preserve">.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t xml:space="preserve"> в течение 1 рабочего дня со дня получения сведений осуществляет их проверку. В случае выявления неполноты и (или) недостоверности представленных сведений, несоответствия сведений и (или) фотографий требованиям, установленным пунктами 7 – 9 настоящего Порядка,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t xml:space="preserve"> направляет в орган местного самоуправления муниципального образования Ивановской области (с дублированием ответственному должностному лицу посредством электронного письма в адрес служебной электронной почты) уведомление с указанием замечаний и требованием доработки представленных сведений и (или) фотографий.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Замечания подлежат устранению в течение 1 рабочего дня</w:t>
      </w:r>
      <w:r>
        <w:rPr>
          <w:rFonts w:ascii="Tinos" w:hAnsi="Tinos"/>
          <w:b w:val="false"/>
          <w:bCs w:val="false"/>
          <w:i w:val="false"/>
          <w:strike w:val="false"/>
          <w:dstrike w:val="false"/>
          <w:color w:val="000000"/>
          <w:sz w:val="28"/>
          <w:szCs w:val="28"/>
          <w:u w:val="none"/>
        </w:rPr>
        <w:t xml:space="preserve"> со дня их получения, после чего сведения незамедлительно направляются в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w:t>
      </w:r>
      <w:r>
        <w:rPr>
          <w:rFonts w:ascii="Tinos" w:hAnsi="Tinos"/>
          <w:b w:val="false"/>
          <w:bCs w:val="false"/>
          <w:i w:val="false"/>
          <w:strike w:val="false"/>
          <w:dstrike w:val="false"/>
          <w:color w:val="000000"/>
          <w:sz w:val="28"/>
          <w:szCs w:val="28"/>
          <w:u w:val="none"/>
        </w:rPr>
        <w:t xml:space="preserve"> повторно.</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1</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2</w:t>
      </w:r>
      <w:r>
        <w:rPr>
          <w:rFonts w:ascii="Tinos" w:hAnsi="Tinos"/>
          <w:b w:val="false"/>
          <w:bCs w:val="false"/>
          <w:i w:val="false"/>
          <w:strike w:val="false"/>
          <w:dstrike w:val="false"/>
          <w:color w:val="000000"/>
          <w:sz w:val="28"/>
          <w:szCs w:val="28"/>
          <w:u w:val="none"/>
        </w:rPr>
        <w:t xml:space="preserve">. Сведения подлежат размещению </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комитетом</w:t>
      </w:r>
      <w:r>
        <w:rPr>
          <w:rFonts w:ascii="Tinos" w:hAnsi="Tinos"/>
          <w:b w:val="false"/>
          <w:bCs w:val="false"/>
          <w:i w:val="false"/>
          <w:strike w:val="false"/>
          <w:dstrike w:val="false"/>
          <w:color w:val="000000"/>
          <w:sz w:val="28"/>
          <w:szCs w:val="28"/>
          <w:u w:val="none"/>
        </w:rPr>
        <w:t xml:space="preserve"> в личном кабинете ЕИСЖС</w:t>
        <w:br/>
        <w:t>в течение 3 рабочих дней со дня выдачи акта приемки выполненных работ по сохранению объекта культурного наследия, выдачи разрешения на 7 ввод объекта в эксплуатацию или утверждения акта технического состояния объекта культурного наследия.</w:t>
      </w:r>
    </w:p>
    <w:p>
      <w:pPr>
        <w:pStyle w:val="Normal"/>
        <w:numPr>
          <w:ilvl w:val="0"/>
          <w:numId w:val="0"/>
        </w:numPr>
        <w:spacing w:lineRule="auto" w:line="276"/>
        <w:ind w:left="0" w:hanging="0"/>
        <w:jc w:val="both"/>
        <w:outlineLvl w:val="0"/>
        <w:rPr/>
      </w:pPr>
      <w:r>
        <w:rPr/>
      </w:r>
    </w:p>
    <w:p>
      <w:pPr>
        <w:pStyle w:val="Normal"/>
        <w:numPr>
          <w:ilvl w:val="0"/>
          <w:numId w:val="0"/>
        </w:numPr>
        <w:spacing w:lineRule="auto" w:line="276"/>
        <w:ind w:left="0" w:hanging="0"/>
        <w:jc w:val="center"/>
        <w:outlineLvl w:val="0"/>
        <w:rPr/>
      </w:pPr>
      <w:r>
        <w:rPr>
          <w:rFonts w:ascii="Tinos" w:hAnsi="Tinos"/>
          <w:b w:val="false"/>
          <w:bCs w:val="false"/>
          <w:i w:val="false"/>
          <w:strike w:val="false"/>
          <w:dstrike w:val="false"/>
          <w:color w:val="000000"/>
          <w:sz w:val="28"/>
          <w:szCs w:val="28"/>
          <w:u w:val="none"/>
        </w:rPr>
        <w:t>IV. Заключительные положения</w:t>
      </w:r>
    </w:p>
    <w:p>
      <w:pPr>
        <w:pStyle w:val="Normal"/>
        <w:numPr>
          <w:ilvl w:val="0"/>
          <w:numId w:val="0"/>
        </w:numPr>
        <w:spacing w:lineRule="auto" w:line="276"/>
        <w:ind w:left="0" w:hanging="0"/>
        <w:jc w:val="center"/>
        <w:outlineLvl w:val="0"/>
        <w:rPr/>
      </w:pPr>
      <w:r>
        <w:rPr/>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1</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3</w:t>
      </w:r>
      <w:r>
        <w:rPr>
          <w:rFonts w:ascii="Tinos" w:hAnsi="Tinos"/>
          <w:b w:val="false"/>
          <w:bCs w:val="false"/>
          <w:i w:val="false"/>
          <w:strike w:val="false"/>
          <w:dstrike w:val="false"/>
          <w:color w:val="000000"/>
          <w:sz w:val="28"/>
          <w:szCs w:val="28"/>
          <w:u w:val="none"/>
        </w:rPr>
        <w:t>. Органы местного самоуправления несут ответственность за полноту, достоверность и своевременность предоставления сведений в соответствии с действующим законодательством Российской Федерации.</w:t>
      </w:r>
    </w:p>
    <w:p>
      <w:pPr>
        <w:pStyle w:val="Normal"/>
        <w:numPr>
          <w:ilvl w:val="0"/>
          <w:numId w:val="0"/>
        </w:numPr>
        <w:spacing w:lineRule="auto" w:line="276"/>
        <w:ind w:left="0" w:hanging="0"/>
        <w:jc w:val="both"/>
        <w:outlineLvl w:val="0"/>
        <w:rPr/>
      </w:pPr>
      <w:r>
        <w:rPr>
          <w:rFonts w:ascii="Tinos" w:hAnsi="Tinos"/>
          <w:b w:val="false"/>
          <w:bCs w:val="false"/>
          <w:i w:val="false"/>
          <w:strike w:val="false"/>
          <w:dstrike w:val="false"/>
          <w:color w:val="000000"/>
          <w:sz w:val="28"/>
          <w:szCs w:val="28"/>
          <w:u w:val="none"/>
        </w:rPr>
        <w:tab/>
        <w:t>1</w:t>
      </w:r>
      <w:r>
        <w:rPr>
          <w:rFonts w:eastAsia="Times New Roman" w:cs="Times New Roman" w:ascii="Tinos" w:hAnsi="Tinos"/>
          <w:b w:val="false"/>
          <w:bCs w:val="false"/>
          <w:i w:val="false"/>
          <w:strike w:val="false"/>
          <w:dstrike w:val="false"/>
          <w:color w:val="000000"/>
          <w:kern w:val="0"/>
          <w:sz w:val="28"/>
          <w:szCs w:val="28"/>
          <w:u w:val="none"/>
          <w:lang w:val="ru-RU" w:eastAsia="ar-SA" w:bidi="ar-SA"/>
        </w:rPr>
        <w:t>4</w:t>
      </w:r>
      <w:r>
        <w:rPr>
          <w:rFonts w:ascii="Tinos" w:hAnsi="Tinos"/>
          <w:b w:val="false"/>
          <w:bCs w:val="false"/>
          <w:i w:val="false"/>
          <w:strike w:val="false"/>
          <w:dstrike w:val="false"/>
          <w:color w:val="000000"/>
          <w:sz w:val="28"/>
          <w:szCs w:val="28"/>
          <w:u w:val="none"/>
        </w:rPr>
        <w:t xml:space="preserve">. Документы, создаваемые в процессе информационного взаимодействия, подлежат хранению в соответствии с правилами делопроизводства и архивного хранения. </w:t>
      </w:r>
    </w:p>
    <w:sectPr>
      <w:type w:val="nextPage"/>
      <w:pgSz w:w="11906" w:h="16838"/>
      <w:pgMar w:left="1134" w:right="567"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Bookman Old Style">
    <w:charset w:val="01"/>
    <w:family w:val="roman"/>
    <w:pitch w:val="default"/>
  </w:font>
  <w:font w:name="Tahoma">
    <w:charset w:val="01"/>
    <w:family w:val="roman"/>
    <w:pitch w:val="default"/>
  </w:font>
  <w:font w:name="Arial">
    <w:charset w:val="01"/>
    <w:family w:val="roman"/>
    <w:pitch w:val="default"/>
  </w:font>
  <w:font w:name="PT Astra Serif">
    <w:charset w:val="01"/>
    <w:family w:val="roman"/>
    <w:pitch w:val="default"/>
  </w:font>
  <w:font w:name="Tinos">
    <w:charset w:val="01"/>
    <w:family w:val="roman"/>
    <w:pitch w:val="default"/>
  </w:font>
  <w:font w:name="Tinos">
    <w:charset w:val="01"/>
    <w:family w:val="auto"/>
    <w:pitch w:val="variable"/>
  </w:font>
</w:fonts>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1240a"/>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ar-SA" w:bidi="ar-SA"/>
    </w:rPr>
  </w:style>
  <w:style w:type="paragraph" w:styleId="1">
    <w:name w:val="Heading 1"/>
    <w:basedOn w:val="Normal"/>
    <w:uiPriority w:val="1"/>
    <w:qFormat/>
    <w:rsid w:val="009f66dc"/>
    <w:pPr>
      <w:suppressAutoHyphens w:val="false"/>
      <w:spacing w:before="39" w:after="0"/>
      <w:ind w:left="374" w:right="465" w:hanging="0"/>
      <w:jc w:val="center"/>
      <w:outlineLvl w:val="0"/>
    </w:pPr>
    <w:rPr>
      <w:rFonts w:ascii="Bookman Old Style" w:hAnsi="Bookman Old Style" w:eastAsia="Bookman Old Style" w:cs="Bookman Old Style"/>
      <w:sz w:val="27"/>
      <w:szCs w:val="27"/>
      <w:lang w:eastAsia="en-US"/>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uiPriority w:val="99"/>
    <w:semiHidden/>
    <w:qFormat/>
    <w:rsid w:val="00f1240a"/>
    <w:rPr>
      <w:rFonts w:ascii="Tahoma" w:hAnsi="Tahoma" w:eastAsia="Times New Roman" w:cs="Tahoma"/>
      <w:sz w:val="16"/>
      <w:szCs w:val="16"/>
      <w:lang w:eastAsia="ar-SA"/>
    </w:rPr>
  </w:style>
  <w:style w:type="character" w:styleId="11" w:customStyle="1">
    <w:name w:val="Табличный Знак1"/>
    <w:qFormat/>
    <w:rsid w:val="00c2076a"/>
    <w:rPr>
      <w:rFonts w:ascii="Arial" w:hAnsi="Arial" w:eastAsia="Times New Roman" w:cs="Arial"/>
      <w:sz w:val="18"/>
      <w:szCs w:val="24"/>
      <w:lang w:eastAsia="ar-SA"/>
    </w:rPr>
  </w:style>
  <w:style w:type="character" w:styleId="Style14" w:customStyle="1">
    <w:name w:val="Основной текст Знак"/>
    <w:basedOn w:val="DefaultParagraphFont"/>
    <w:uiPriority w:val="99"/>
    <w:semiHidden/>
    <w:qFormat/>
    <w:rsid w:val="00c2076a"/>
    <w:rPr>
      <w:rFonts w:ascii="Times New Roman" w:hAnsi="Times New Roman" w:eastAsia="Times New Roman" w:cs="Times New Roman"/>
      <w:sz w:val="20"/>
      <w:szCs w:val="20"/>
      <w:lang w:eastAsia="ar-SA"/>
    </w:rPr>
  </w:style>
  <w:style w:type="character" w:styleId="Style15" w:customStyle="1">
    <w:name w:val="Интернет-ссылка"/>
    <w:basedOn w:val="DefaultParagraphFont"/>
    <w:uiPriority w:val="99"/>
    <w:unhideWhenUsed/>
    <w:rsid w:val="006871f9"/>
    <w:rPr>
      <w:color w:val="0000FF" w:themeColor="hyperlink"/>
      <w:u w:val="single"/>
    </w:rPr>
  </w:style>
  <w:style w:type="character" w:styleId="12" w:customStyle="1">
    <w:name w:val="Заголовок 1 Знак"/>
    <w:basedOn w:val="DefaultParagraphFont"/>
    <w:uiPriority w:val="1"/>
    <w:qFormat/>
    <w:rsid w:val="009f66dc"/>
    <w:rPr>
      <w:rFonts w:ascii="Bookman Old Style" w:hAnsi="Bookman Old Style" w:eastAsia="Bookman Old Style" w:cs="Bookman Old Style"/>
      <w:sz w:val="27"/>
      <w:szCs w:val="27"/>
    </w:rPr>
  </w:style>
  <w:style w:type="character" w:styleId="Style16" w:customStyle="1">
    <w:name w:val="Название Знак"/>
    <w:basedOn w:val="DefaultParagraphFont"/>
    <w:uiPriority w:val="1"/>
    <w:qFormat/>
    <w:rsid w:val="009f66dc"/>
    <w:rPr>
      <w:rFonts w:ascii="Times New Roman" w:hAnsi="Times New Roman" w:eastAsia="Times New Roman" w:cs="Times New Roman"/>
      <w:sz w:val="36"/>
      <w:szCs w:val="36"/>
    </w:rPr>
  </w:style>
  <w:style w:type="character" w:styleId="Style17" w:customStyle="1">
    <w:name w:val="Верхний колонтитул Знак"/>
    <w:basedOn w:val="DefaultParagraphFont"/>
    <w:uiPriority w:val="99"/>
    <w:qFormat/>
    <w:rsid w:val="00f07281"/>
    <w:rPr>
      <w:rFonts w:ascii="Times New Roman" w:hAnsi="Times New Roman" w:eastAsia="Times New Roman" w:cs="Times New Roman"/>
      <w:sz w:val="20"/>
      <w:szCs w:val="20"/>
      <w:lang w:eastAsia="ar-SA"/>
    </w:rPr>
  </w:style>
  <w:style w:type="character" w:styleId="Style18" w:customStyle="1">
    <w:name w:val="Нижний колонтитул Знак"/>
    <w:basedOn w:val="DefaultParagraphFont"/>
    <w:uiPriority w:val="99"/>
    <w:qFormat/>
    <w:rsid w:val="00f07281"/>
    <w:rPr>
      <w:rFonts w:ascii="Times New Roman" w:hAnsi="Times New Roman" w:eastAsia="Times New Roman" w:cs="Times New Roman"/>
      <w:sz w:val="20"/>
      <w:szCs w:val="20"/>
      <w:lang w:eastAsia="ar-SA"/>
    </w:rPr>
  </w:style>
  <w:style w:type="paragraph" w:styleId="Style19" w:customStyle="1">
    <w:name w:val="Заголовок"/>
    <w:basedOn w:val="Normal"/>
    <w:next w:val="Style20"/>
    <w:qFormat/>
    <w:pPr>
      <w:keepNext w:val="true"/>
      <w:spacing w:before="240" w:after="120"/>
    </w:pPr>
    <w:rPr>
      <w:rFonts w:ascii="PT Astra Serif" w:hAnsi="PT Astra Serif" w:eastAsia="Tahoma" w:cs="Noto Sans Devanagari"/>
      <w:sz w:val="28"/>
      <w:szCs w:val="28"/>
    </w:rPr>
  </w:style>
  <w:style w:type="paragraph" w:styleId="Style20">
    <w:name w:val="Body Text"/>
    <w:basedOn w:val="Normal"/>
    <w:uiPriority w:val="1"/>
    <w:unhideWhenUsed/>
    <w:qFormat/>
    <w:rsid w:val="00c2076a"/>
    <w:pPr>
      <w:spacing w:before="0" w:after="120"/>
    </w:pPr>
    <w:rPr/>
  </w:style>
  <w:style w:type="paragraph" w:styleId="Style21">
    <w:name w:val="List"/>
    <w:basedOn w:val="Style20"/>
    <w:pPr/>
    <w:rPr>
      <w:rFonts w:ascii="PT Astra Serif" w:hAnsi="PT Astra Serif" w:cs="Noto Sans Devanagari"/>
    </w:rPr>
  </w:style>
  <w:style w:type="paragraph" w:styleId="Style22">
    <w:name w:val="Caption"/>
    <w:basedOn w:val="Normal"/>
    <w:qFormat/>
    <w:pPr>
      <w:suppressLineNumbers/>
      <w:spacing w:before="120" w:after="120"/>
    </w:pPr>
    <w:rPr>
      <w:rFonts w:ascii="PT Astra Serif" w:hAnsi="PT Astra Serif" w:cs="Noto Sans Devanagari"/>
      <w:i/>
      <w:iCs/>
      <w:sz w:val="24"/>
      <w:szCs w:val="24"/>
    </w:rPr>
  </w:style>
  <w:style w:type="paragraph" w:styleId="Style23">
    <w:name w:val="Указатель"/>
    <w:basedOn w:val="Normal"/>
    <w:qFormat/>
    <w:pPr>
      <w:suppressLineNumbers/>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pPr>
      <w:suppressLineNumbers/>
    </w:pPr>
    <w:rPr>
      <w:rFonts w:ascii="PT Astra Serif" w:hAnsi="PT Astra Serif" w:cs="Noto Sans Devanagari"/>
    </w:rPr>
  </w:style>
  <w:style w:type="paragraph" w:styleId="Standard" w:customStyle="1">
    <w:name w:val="Standard"/>
    <w:qFormat/>
    <w:rsid w:val="00f1240a"/>
    <w:pPr>
      <w:widowControl w:val="false"/>
      <w:suppressAutoHyphens w:val="true"/>
      <w:bidi w:val="0"/>
      <w:spacing w:before="0" w:after="0"/>
      <w:jc w:val="left"/>
      <w:textAlignment w:val="baseline"/>
    </w:pPr>
    <w:rPr>
      <w:rFonts w:ascii="Times New Roman" w:hAnsi="Times New Roman" w:eastAsia="Times New Roman" w:cs="Times New Roman"/>
      <w:color w:val="auto"/>
      <w:kern w:val="2"/>
      <w:sz w:val="20"/>
      <w:szCs w:val="20"/>
      <w:lang w:val="ru-RU" w:eastAsia="ru-RU" w:bidi="ar-SA"/>
    </w:rPr>
  </w:style>
  <w:style w:type="paragraph" w:styleId="NoSpacing">
    <w:name w:val="No Spacing"/>
    <w:uiPriority w:val="1"/>
    <w:qFormat/>
    <w:rsid w:val="00f1240a"/>
    <w:pPr>
      <w:widowControl/>
      <w:suppressAutoHyphens w:val="true"/>
      <w:bidi w:val="0"/>
      <w:spacing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BalloonText">
    <w:name w:val="Balloon Text"/>
    <w:basedOn w:val="Normal"/>
    <w:uiPriority w:val="99"/>
    <w:semiHidden/>
    <w:unhideWhenUsed/>
    <w:qFormat/>
    <w:rsid w:val="00f1240a"/>
    <w:pPr/>
    <w:rPr>
      <w:rFonts w:ascii="Tahoma" w:hAnsi="Tahoma" w:cs="Tahoma"/>
      <w:sz w:val="16"/>
      <w:szCs w:val="16"/>
    </w:rPr>
  </w:style>
  <w:style w:type="paragraph" w:styleId="Style24" w:customStyle="1">
    <w:name w:val="Таблица Центр"/>
    <w:basedOn w:val="Normal"/>
    <w:autoRedefine/>
    <w:qFormat/>
    <w:rsid w:val="005f2d16"/>
    <w:pPr>
      <w:widowControl/>
      <w:suppressAutoHyphens w:val="false"/>
      <w:spacing w:before="0" w:after="60"/>
      <w:ind w:left="-113" w:right="-113" w:hanging="0"/>
      <w:jc w:val="center"/>
    </w:pPr>
    <w:rPr>
      <w:rFonts w:ascii="Arial" w:hAnsi="Arial"/>
      <w:sz w:val="18"/>
      <w:szCs w:val="24"/>
      <w:lang w:eastAsia="ru-RU"/>
    </w:rPr>
  </w:style>
  <w:style w:type="paragraph" w:styleId="ListParagraph">
    <w:name w:val="List Paragraph"/>
    <w:basedOn w:val="Normal"/>
    <w:uiPriority w:val="1"/>
    <w:qFormat/>
    <w:rsid w:val="00e27743"/>
    <w:pPr>
      <w:spacing w:before="0" w:after="0"/>
      <w:ind w:left="720" w:hanging="0"/>
      <w:contextualSpacing/>
    </w:pPr>
    <w:rPr/>
  </w:style>
  <w:style w:type="paragraph" w:styleId="Style25" w:customStyle="1">
    <w:name w:val="Табличный"/>
    <w:basedOn w:val="Style20"/>
    <w:link w:val="11"/>
    <w:qFormat/>
    <w:rsid w:val="00c2076a"/>
    <w:pPr>
      <w:widowControl/>
      <w:spacing w:lineRule="atLeast" w:line="100" w:before="0" w:after="0"/>
    </w:pPr>
    <w:rPr>
      <w:rFonts w:ascii="Arial" w:hAnsi="Arial" w:cs="Arial"/>
      <w:sz w:val="18"/>
      <w:szCs w:val="24"/>
    </w:rPr>
  </w:style>
  <w:style w:type="paragraph" w:styleId="ConsPlusNormal" w:customStyle="1">
    <w:name w:val="ConsPlusNormal"/>
    <w:qFormat/>
    <w:rsid w:val="0022501f"/>
    <w:pPr>
      <w:widowControl w:val="false"/>
      <w:suppressAutoHyphens w:val="true"/>
      <w:bidi w:val="0"/>
      <w:spacing w:before="0" w:after="0"/>
      <w:ind w:firstLine="720"/>
      <w:jc w:val="left"/>
    </w:pPr>
    <w:rPr>
      <w:rFonts w:ascii="Arial" w:hAnsi="Arial" w:eastAsia="" w:cs="Arial" w:eastAsiaTheme="minorEastAsia"/>
      <w:color w:val="auto"/>
      <w:kern w:val="0"/>
      <w:sz w:val="20"/>
      <w:szCs w:val="20"/>
      <w:lang w:val="ru-RU" w:eastAsia="ru-RU" w:bidi="ar-SA"/>
    </w:rPr>
  </w:style>
  <w:style w:type="paragraph" w:styleId="Style26" w:customStyle="1">
    <w:name w:val="Содержимое таблицы"/>
    <w:basedOn w:val="Normal"/>
    <w:qFormat/>
    <w:rsid w:val="0022501f"/>
    <w:pPr>
      <w:suppressLineNumbers/>
    </w:pPr>
    <w:rPr>
      <w:rFonts w:eastAsia="Lucida Sans Unicode" w:cs="Tahoma"/>
      <w:color w:val="000000"/>
      <w:sz w:val="24"/>
      <w:szCs w:val="24"/>
      <w:lang w:val="en-US" w:eastAsia="en-US" w:bidi="en-US"/>
    </w:rPr>
  </w:style>
  <w:style w:type="paragraph" w:styleId="Style27">
    <w:name w:val="Title"/>
    <w:basedOn w:val="Normal"/>
    <w:uiPriority w:val="1"/>
    <w:qFormat/>
    <w:rsid w:val="009f66dc"/>
    <w:pPr>
      <w:suppressAutoHyphens w:val="false"/>
      <w:spacing w:before="1" w:after="0"/>
      <w:ind w:left="345" w:right="465" w:hanging="0"/>
      <w:jc w:val="center"/>
    </w:pPr>
    <w:rPr>
      <w:sz w:val="36"/>
      <w:szCs w:val="36"/>
      <w:lang w:eastAsia="en-US"/>
    </w:rPr>
  </w:style>
  <w:style w:type="paragraph" w:styleId="TableParagraph" w:customStyle="1">
    <w:name w:val="Table Paragraph"/>
    <w:basedOn w:val="Normal"/>
    <w:uiPriority w:val="1"/>
    <w:qFormat/>
    <w:rsid w:val="009f66dc"/>
    <w:pPr>
      <w:suppressAutoHyphens w:val="false"/>
    </w:pPr>
    <w:rPr>
      <w:sz w:val="22"/>
      <w:szCs w:val="22"/>
      <w:lang w:eastAsia="en-US"/>
    </w:rPr>
  </w:style>
  <w:style w:type="paragraph" w:styleId="Style28" w:customStyle="1">
    <w:name w:val="Верхний и нижний колонтитулы"/>
    <w:basedOn w:val="Normal"/>
    <w:qFormat/>
    <w:pPr/>
    <w:rPr/>
  </w:style>
  <w:style w:type="paragraph" w:styleId="Style29">
    <w:name w:val="Header"/>
    <w:basedOn w:val="Normal"/>
    <w:uiPriority w:val="99"/>
    <w:unhideWhenUsed/>
    <w:rsid w:val="00f07281"/>
    <w:pPr>
      <w:tabs>
        <w:tab w:val="clear" w:pos="720"/>
        <w:tab w:val="center" w:pos="4677" w:leader="none"/>
        <w:tab w:val="right" w:pos="9355" w:leader="none"/>
      </w:tabs>
    </w:pPr>
    <w:rPr/>
  </w:style>
  <w:style w:type="paragraph" w:styleId="Style30">
    <w:name w:val="Footer"/>
    <w:basedOn w:val="Normal"/>
    <w:uiPriority w:val="99"/>
    <w:unhideWhenUsed/>
    <w:rsid w:val="00f07281"/>
    <w:pPr>
      <w:tabs>
        <w:tab w:val="clear" w:pos="720"/>
        <w:tab w:val="center" w:pos="4677" w:leader="none"/>
        <w:tab w:val="right" w:pos="9355" w:leader="none"/>
      </w:tabs>
    </w:pPr>
    <w:rPr/>
  </w:style>
  <w:style w:type="paragraph" w:styleId="Style31" w:customStyle="1">
    <w:name w:val="Содержимое врезки"/>
    <w:basedOn w:val="Normal"/>
    <w:qFormat/>
    <w:pPr/>
    <w:rPr/>
  </w:style>
  <w:style w:type="paragraph" w:styleId="ConsPlusTitle">
    <w:name w:val="ConsPlusTitle"/>
    <w:qFormat/>
    <w:pPr>
      <w:widowControl w:val="false"/>
      <w:suppressAutoHyphens w:val="true"/>
      <w:bidi w:val="0"/>
      <w:spacing w:before="0" w:after="0"/>
      <w:jc w:val="left"/>
    </w:pPr>
    <w:rPr>
      <w:rFonts w:ascii="Calibri" w:hAnsi="Calibri" w:eastAsia="Times New Roman" w:cs="Calibri" w:asciiTheme="minorHAnsi" w:hAnsiTheme="minorHAnsi"/>
      <w:b/>
      <w:color w:val="auto"/>
      <w:kern w:val="0"/>
      <w:sz w:val="22"/>
      <w:szCs w:val="20"/>
      <w:lang w:val="ru-RU" w:eastAsia="ru-RU" w:bidi="ar-SA"/>
    </w:rPr>
  </w:style>
  <w:style w:type="paragraph" w:styleId="Style32">
    <w:name w:val="Заголовок таблицы"/>
    <w:basedOn w:val="Style26"/>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8">
    <w:name w:val="Table Grid"/>
    <w:basedOn w:val="a1"/>
    <w:rsid w:val="00024f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sid w:val="009f66dc"/>
    <w:rPr>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consultantplus://offline/ref=FA36226D4B4B8B42ACF1C38F27BC4E7376B10A684CD1FD8BD40B47A324E473A7DF6C011A6D77375D9E58F9798A7D10691D2C0780DA31E54Db15DM"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C5F39-1A30-4527-A851-7CAE1719A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Application>LibreOffice/7.0.3.1$Linux_X86_64 LibreOffice_project/00$Build-1</Application>
  <Pages>6</Pages>
  <Words>1468</Words>
  <Characters>10974</Characters>
  <CharactersWithSpaces>12434</CharactersWithSpaces>
  <Paragraphs>54</Paragraphs>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2026-10-05T10:16:00Z</dcterms:created>
  <dc:creator>Federal1</dc:creator>
  <dc:description/>
  <dc:language>ru-RU</dc:language>
  <cp:lastModifiedBy/>
  <cp:lastPrinted>2026-10-05T10:34:33Z</cp:lastPrinted>
  <dcterms:modified xsi:type="dcterms:W3CDTF">2026-10-05T10:21:24Z</dcterms:modified>
  <cp:revision>65</cp:revision>
  <dc:subject/>
  <dc:title>"Налоговый кодекс Российской Федерации (часть первая)" от 31.07.1998 N 146-ФЗ(ред. от 04.08.2026)(с изм. и доп., вступ. в силу с 01.10.2026)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КонсультантПлюс Версия 4026.00.34</vt:lpwstr>
  </property>
</Properties>
</file>