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Предложения в отношении новой редакции проекта федерального закона </w:t>
      </w:r>
      <w:r>
        <w:rPr>
          <w:rFonts w:ascii="Times New Roman" w:hAnsi="Times New Roman"/>
          <w:b/>
          <w:sz w:val="28"/>
          <w:szCs w:val="28"/>
        </w:rPr>
        <w:t xml:space="preserve">№ 681423-8 «О внесении изменений в Федеральный закон «Об объектах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культурного наследия (памятниках истории и культуры) народов Российской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Федерации» (Законопроект)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/>
    </w:p>
    <w:p>
      <w:pPr>
        <w:pStyle w:val="599"/>
        <w:jc w:val="center"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599"/>
        <w:ind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Новый Законопроект подготовлен помимо прочего в целях </w:t>
      </w:r>
      <w:r>
        <w:rPr>
          <w:rFonts w:ascii="Times New Roman" w:hAnsi="Times New Roman"/>
          <w:sz w:val="28"/>
          <w:szCs w:val="28"/>
        </w:rPr>
        <w:t xml:space="preserve">устранения  избыточных требований к порядку определения наличия или отсутствия объектов, обладающих признаками объекта археологического наследия, на территориях, подлежащих хозяйственному освоению</w:t>
      </w:r>
      <w:r>
        <w:rPr>
          <w:rFonts w:ascii="Times New Roman" w:hAnsi="Times New Roman"/>
          <w:sz w:val="28"/>
          <w:szCs w:val="28"/>
        </w:rPr>
        <w:t xml:space="preserve">. В этой связи заявленная авторами законопроектов цель возражений не вызывает. </w:t>
      </w:r>
      <w:r>
        <w:rPr>
          <w:rFonts w:ascii="Times New Roman" w:hAnsi="Times New Roman"/>
          <w:sz w:val="28"/>
          <w:szCs w:val="28"/>
        </w:rPr>
        <w:t xml:space="preserve">В свою очередь законопроект </w:t>
      </w:r>
      <w:r>
        <w:rPr>
          <w:rFonts w:ascii="Times New Roman" w:hAnsi="Times New Roman"/>
          <w:sz w:val="28"/>
          <w:szCs w:val="28"/>
        </w:rPr>
        <w:t xml:space="preserve">требуют доработки по следующим основаниям: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599"/>
        <w:numPr>
          <w:ilvl w:val="0"/>
          <w:numId w:val="1"/>
        </w:numPr>
        <w:ind w:firstLine="709"/>
        <w:jc w:val="both"/>
        <w:spacing w:after="0" w:line="360" w:lineRule="auto"/>
        <w:tabs>
          <w:tab w:val="left" w:pos="992" w:leader="none"/>
        </w:tabs>
      </w:pPr>
      <w:r>
        <w:rPr>
          <w:rFonts w:ascii="Times New Roman" w:hAnsi="Times New Roman"/>
          <w:sz w:val="28"/>
          <w:szCs w:val="28"/>
        </w:rPr>
        <w:t xml:space="preserve">Законопроектом предлагается внести </w:t>
      </w:r>
      <w:r>
        <w:rPr>
          <w:rFonts w:ascii="Times New Roman" w:hAnsi="Times New Roman"/>
          <w:sz w:val="28"/>
          <w:szCs w:val="28"/>
        </w:rPr>
        <w:t xml:space="preserve">ряд </w:t>
      </w:r>
      <w:r>
        <w:rPr>
          <w:rFonts w:ascii="Times New Roman" w:hAnsi="Times New Roman"/>
          <w:sz w:val="28"/>
          <w:szCs w:val="28"/>
        </w:rPr>
        <w:t xml:space="preserve">изменени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 в Федеральный закон </w:t>
      </w:r>
      <w:r>
        <w:rPr>
          <w:rFonts w:ascii="Times New Roman" w:hAnsi="Times New Roman"/>
          <w:sz w:val="28"/>
          <w:szCs w:val="28"/>
        </w:rPr>
        <w:t xml:space="preserve">от 25 июня 2002 года № 73-ФЗ «Об объектах культурного наследия (памятниках истории и культуры) народов Российской Федерации»</w:t>
      </w:r>
      <w:r>
        <w:rPr>
          <w:rFonts w:ascii="Times New Roman" w:hAnsi="Times New Roman"/>
          <w:sz w:val="28"/>
          <w:szCs w:val="28"/>
        </w:rPr>
        <w:t xml:space="preserve"> (далее – Федеральный закон №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73-ФЗ)</w:t>
      </w:r>
      <w:r>
        <w:rPr>
          <w:rFonts w:ascii="Times New Roman" w:hAnsi="Times New Roman"/>
          <w:sz w:val="28"/>
          <w:szCs w:val="28"/>
        </w:rPr>
        <w:t xml:space="preserve">. В статье 3 предлагается </w:t>
      </w:r>
      <w:r>
        <w:rPr>
          <w:rFonts w:ascii="Times New Roman" w:hAnsi="Times New Roman"/>
          <w:sz w:val="28"/>
          <w:szCs w:val="28"/>
        </w:rPr>
        <w:t xml:space="preserve">дифференцировать </w:t>
      </w:r>
      <w:r>
        <w:rPr>
          <w:rFonts w:ascii="Times New Roman" w:hAnsi="Times New Roman"/>
          <w:sz w:val="28"/>
          <w:szCs w:val="28"/>
        </w:rPr>
        <w:t xml:space="preserve">хронологическ</w:t>
      </w:r>
      <w:r>
        <w:rPr>
          <w:rFonts w:ascii="Times New Roman" w:hAnsi="Times New Roman"/>
          <w:sz w:val="28"/>
          <w:szCs w:val="28"/>
        </w:rPr>
        <w:t xml:space="preserve">ий рубеж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(критерий) </w:t>
      </w:r>
      <w:r>
        <w:rPr>
          <w:rFonts w:ascii="Times New Roman" w:hAnsi="Times New Roman"/>
          <w:sz w:val="28"/>
          <w:szCs w:val="28"/>
        </w:rPr>
        <w:t xml:space="preserve">отнесения объектов к объектам археологического наследия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 именно, к</w:t>
      </w:r>
      <w:r>
        <w:rPr>
          <w:rFonts w:ascii="Times New Roman" w:hAnsi="Times New Roman"/>
          <w:sz w:val="28"/>
          <w:szCs w:val="28"/>
        </w:rPr>
        <w:t xml:space="preserve"> объектам археологического наследия </w:t>
      </w:r>
      <w:r>
        <w:rPr>
          <w:rFonts w:ascii="Times New Roman" w:hAnsi="Times New Roman"/>
          <w:sz w:val="28"/>
          <w:szCs w:val="28"/>
        </w:rPr>
        <w:t xml:space="preserve">предлагается </w:t>
      </w:r>
      <w:r>
        <w:rPr>
          <w:rFonts w:ascii="Times New Roman" w:hAnsi="Times New Roman"/>
          <w:sz w:val="28"/>
          <w:szCs w:val="28"/>
        </w:rPr>
        <w:t xml:space="preserve">отнести следы существования человека в прошлых эпохах, возникшие до начала XIX века (за исключением некрополей, полей сражений), а на территориях Сибири, Дальнего Востока и Кавказа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до начала XX века, включая все связанные с такими следами археологические предметы и культурные слои.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пояснительной записке такая </w:t>
      </w:r>
      <w:r>
        <w:rPr>
          <w:rFonts w:ascii="Times New Roman" w:hAnsi="Times New Roman"/>
          <w:sz w:val="28"/>
          <w:szCs w:val="28"/>
        </w:rPr>
        <w:t xml:space="preserve">мера </w:t>
      </w:r>
      <w:r>
        <w:rPr>
          <w:rFonts w:ascii="Times New Roman" w:hAnsi="Times New Roman"/>
          <w:sz w:val="28"/>
          <w:szCs w:val="28"/>
        </w:rPr>
        <w:t xml:space="preserve">позволить </w:t>
      </w:r>
      <w:r>
        <w:rPr>
          <w:rFonts w:ascii="Times New Roman" w:hAnsi="Times New Roman"/>
          <w:sz w:val="28"/>
          <w:szCs w:val="28"/>
          <w:u w:val="single"/>
        </w:rPr>
        <w:t xml:space="preserve">исключить </w:t>
      </w:r>
      <w:r>
        <w:rPr>
          <w:rFonts w:ascii="Times New Roman" w:hAnsi="Times New Roman"/>
          <w:sz w:val="28"/>
          <w:szCs w:val="28"/>
          <w:u w:val="single"/>
        </w:rPr>
        <w:t xml:space="preserve">необходимость проведения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археологических разведок</w:t>
      </w:r>
      <w:r>
        <w:rPr>
          <w:rFonts w:ascii="Times New Roman" w:hAnsi="Times New Roman" w:cs="Times New Roman"/>
          <w:sz w:val="28"/>
          <w:szCs w:val="28"/>
        </w:rPr>
        <w:t xml:space="preserve"> на европейской территории России </w:t>
      </w:r>
      <w:r>
        <w:rPr>
          <w:rFonts w:ascii="Times New Roman" w:hAnsi="Times New Roman" w:cs="Times New Roman"/>
          <w:sz w:val="28"/>
          <w:szCs w:val="28"/>
        </w:rPr>
        <w:t xml:space="preserve">на одну треть, что </w:t>
      </w:r>
      <w:r>
        <w:rPr>
          <w:rFonts w:ascii="Times New Roman" w:hAnsi="Times New Roman" w:cs="Times New Roman"/>
          <w:sz w:val="28"/>
          <w:szCs w:val="28"/>
        </w:rPr>
        <w:t xml:space="preserve">существенно уменьшит объем археологических работ на объектах, </w:t>
      </w:r>
      <w:r>
        <w:rPr>
          <w:rFonts w:ascii="Times New Roman" w:hAnsi="Times New Roman" w:cs="Times New Roman"/>
          <w:sz w:val="28"/>
          <w:szCs w:val="28"/>
        </w:rPr>
        <w:t xml:space="preserve">сведения о которых содержатся в имеющихся известных письменных источниках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свою очередь, в нормативно-правовых актах Российской Федерации отсутствует перечень субъектов Российской Федерации находящихся на территории Сибири, Дальнего Востока и Кавказа, 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01.05.2016 № 119-ФЗ («</w:t>
      </w:r>
      <w:r>
        <w:rPr>
          <w:rFonts w:ascii="Times New Roman" w:hAnsi="Times New Roman" w:cs="Times New Roman"/>
          <w:sz w:val="28"/>
          <w:szCs w:val="28"/>
        </w:rPr>
        <w:t xml:space="preserve">Об особенностях предоставления гражданам земельных участков, находящихся в государственной или муниципальной собственности и расположенных в Аркти</w:t>
      </w:r>
      <w:r>
        <w:rPr>
          <w:rFonts w:ascii="Times New Roman" w:hAnsi="Times New Roman" w:cs="Times New Roman"/>
          <w:sz w:val="28"/>
          <w:szCs w:val="28"/>
        </w:rPr>
        <w:t xml:space="preserve">ческой зоне Российской Федерации и на других территориях Севера, Сибири и Дальнего Востока Российской Федераци</w:t>
      </w:r>
      <w:r>
        <w:rPr>
          <w:rFonts w:ascii="Times New Roman" w:hAnsi="Times New Roman" w:cs="Times New Roman"/>
          <w:sz w:val="28"/>
          <w:szCs w:val="28"/>
        </w:rPr>
        <w:t xml:space="preserve">и, и о внесении изменений в отдельные законодательные акты Российской Федерации»), в котором перечислены не все субъекты Российской Федерации, находящиеся на территории Сибири.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основании изложенного, предлагаем в статье 3, вместо слов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Сибири, Дальнего Востока и Кавказа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» использовать следующие слова: «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Приволжского,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Уральского,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Северо-Кавказского, Южного (за исключением р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еспублики Крым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г. Севастополь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),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Сибирского,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Дальневосточного федеральных округов»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Вместе с тем, представленный законопроект требует доработки в части дополнения статьи 3 Федерального закона № 73-ФЗ следующими понятиями: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«Объект, обладающий признаками объекта археологического наследия», «Объект, обладающий признаками объекта культурного наследия», «Выявленный объект культурного насл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едия», «Выявленный объект археологического наследия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», «Историко-культурный опорный план территории населенного пункта», «Земельный участок, непосредственно связанный с земельным участком в границах территории объекта культурного (археологического) наследия» (с указанием конкретных параметров (расстояния)).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599"/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аконопроектом предлагается наделить региональные</w:t>
      </w:r>
      <w:r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исполнительной</w:t>
      </w:r>
      <w:r>
        <w:rPr>
          <w:rFonts w:ascii="Times New Roman" w:hAnsi="Times New Roman"/>
          <w:sz w:val="28"/>
          <w:szCs w:val="28"/>
        </w:rPr>
        <w:t xml:space="preserve"> власти в области сохранения, использования, популяризации и государственной охраны объектов культурного наследия </w:t>
      </w:r>
      <w:r>
        <w:rPr>
          <w:rFonts w:ascii="Times New Roman" w:hAnsi="Times New Roman"/>
          <w:sz w:val="28"/>
          <w:szCs w:val="28"/>
        </w:rPr>
        <w:t xml:space="preserve">государственной власти полномочиями по проведению государственной историко-культурной экспертизы </w:t>
      </w:r>
      <w:r>
        <w:rPr>
          <w:rFonts w:ascii="Times New Roman" w:hAnsi="Times New Roman"/>
          <w:sz w:val="28"/>
          <w:szCs w:val="28"/>
        </w:rPr>
        <w:t xml:space="preserve">(ГИКЭ)</w:t>
      </w:r>
      <w:r>
        <w:rPr>
          <w:rFonts w:ascii="Times New Roman" w:hAnsi="Times New Roman"/>
          <w:sz w:val="28"/>
          <w:szCs w:val="28"/>
        </w:rPr>
        <w:t xml:space="preserve"> их подведомственными учреждениями. В условиях отсутствия проекта Порядка проведения указанной ГИКЭ, размер платы за ГИКЭ, состав документации об обнаруженных объектах, соответствующих специалистов в подведомственном учреждении, </w:t>
      </w:r>
      <w:r>
        <w:rPr>
          <w:rFonts w:ascii="Times New Roman" w:hAnsi="Times New Roman"/>
          <w:sz w:val="28"/>
          <w:szCs w:val="28"/>
        </w:rPr>
        <w:t xml:space="preserve">предлагаем: </w:t>
      </w:r>
      <w:r>
        <w:rPr>
          <w:rFonts w:ascii="Times New Roman" w:hAnsi="Times New Roman"/>
          <w:b/>
          <w:bCs/>
          <w:sz w:val="28"/>
          <w:szCs w:val="28"/>
        </w:rPr>
        <w:t xml:space="preserve">наделить правом проведения указанной ГИКЭ специалистов отделений Российской академии наук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Предлагаемые законопроектом изменения в статью 18 Федерального закона № 73-ФЗ, с учетом отсутствия понятийного аппарата в отношении «объектов, обладающих признаками..», не позволяет однозначно осуществлять её правоприменение, например: 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603"/>
        <w:numPr>
          <w:ilvl w:val="0"/>
          <w:numId w:val="2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пункт 5 статьи 18 законопроекта содержит понятия возможно включающие памятники археологии, а возможно их не включающие;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603"/>
        <w:numPr>
          <w:ilvl w:val="0"/>
          <w:numId w:val="2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подпункт 7 пункт 7 статьи 18 законопроекта относится к памятникам археологии или не относится.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Предлагаемый законопроектом новый объект ГИКЭ - «документация, обосновывающая наличие у обнаруженных объектов признаков объекта культурного наследия и историко-культурной ценности» (пп.12 ст.1 Законопроекта), наряду с необходимос</w:t>
      </w:r>
      <w:r>
        <w:rPr>
          <w:rFonts w:ascii="Times New Roman" w:hAnsi="Times New Roman"/>
          <w:sz w:val="28"/>
          <w:szCs w:val="28"/>
          <w:highlight w:val="none"/>
        </w:rPr>
        <w:t xml:space="preserve">тью оплаты археологической разведки, обязывает заказчика работ, технического заказчика (застройщика) ОКС, дополнительно производить оплату за проведение ГИКЭ. Предложенный механизм требует доработки, в том числе с предоставлением проекта подзаконного акта.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Предлагаемое </w:t>
      </w:r>
      <w:r>
        <w:rPr>
          <w:rFonts w:ascii="Times New Roman" w:hAnsi="Times New Roman"/>
          <w:sz w:val="28"/>
          <w:szCs w:val="28"/>
        </w:rPr>
        <w:t xml:space="preserve">введение</w:t>
      </w:r>
      <w:r>
        <w:rPr>
          <w:rFonts w:ascii="Times New Roman" w:hAnsi="Times New Roman"/>
          <w:sz w:val="28"/>
          <w:szCs w:val="28"/>
        </w:rPr>
        <w:t xml:space="preserve"> обязанности субъектов Российской Федерации утверждать опорные исто</w:t>
      </w:r>
      <w:r>
        <w:rPr>
          <w:rFonts w:ascii="Times New Roman" w:hAnsi="Times New Roman"/>
          <w:sz w:val="28"/>
          <w:szCs w:val="28"/>
        </w:rPr>
        <w:t xml:space="preserve">рико-культурные планы (ИКП), с отображением границ культурного слоя, дает колоссальную нагрузку на бюджеты субъектов Российской Федерации. К новому законопроекту не представлена пояснительная записка содержащая </w:t>
      </w:r>
      <w:r>
        <w:rPr>
          <w:rFonts w:ascii="Times New Roman" w:hAnsi="Times New Roman"/>
          <w:sz w:val="28"/>
          <w:szCs w:val="28"/>
        </w:rPr>
        <w:t xml:space="preserve">оценку затрат из бюджета субъекта Российской Федерации на разработку указанных ИКП. В соответствии с Бюджетным кодексом Российской Федерации и регламентом законодательной</w:t>
      </w:r>
      <w:r>
        <w:rPr>
          <w:rFonts w:ascii="Times New Roman" w:hAnsi="Times New Roman"/>
          <w:sz w:val="28"/>
          <w:szCs w:val="28"/>
        </w:rPr>
        <w:t xml:space="preserve"> деятельности, законопроекты, которые предполагают расходы из бюджетов различных уровней, должны содержать финансово-экономическое обоснование (</w:t>
      </w:r>
      <w:r>
        <w:rPr>
          <w:rFonts w:ascii="Times New Roman" w:hAnsi="Times New Roman"/>
          <w:b/>
          <w:bCs/>
          <w:sz w:val="28"/>
          <w:szCs w:val="28"/>
        </w:rPr>
        <w:t xml:space="preserve">ФЭО</w:t>
      </w:r>
      <w:r>
        <w:rPr>
          <w:rFonts w:ascii="Times New Roman" w:hAnsi="Times New Roman"/>
          <w:sz w:val="28"/>
          <w:szCs w:val="28"/>
        </w:rPr>
        <w:t xml:space="preserve">). Это необходимо для оценки влияния предлагаемых изменений на бюджет и обеспечения прозрачности расходов. </w:t>
      </w:r>
      <w:r>
        <w:rPr>
          <w:rFonts w:ascii="Times New Roman" w:hAnsi="Times New Roman"/>
          <w:sz w:val="28"/>
          <w:szCs w:val="28"/>
        </w:rPr>
        <w:t xml:space="preserve">Законопроект может быть возвращен инициаторам для доработки, включая подготовку ФЭО.</w:t>
      </w:r>
      <w:r>
        <w:rPr>
          <w:rFonts w:ascii="Times New Roman" w:hAnsi="Times New Roman"/>
          <w:sz w:val="28"/>
          <w:szCs w:val="28"/>
        </w:rPr>
        <w:t xml:space="preserve"> Реализация законопроекта без оценки затрат может привести к необоснованным расходам и нарушению бюджетной дисциплины. </w:t>
      </w:r>
      <w:r>
        <w:rPr>
          <w:rFonts w:ascii="Times New Roman" w:hAnsi="Times New Roman"/>
          <w:sz w:val="28"/>
          <w:szCs w:val="28"/>
        </w:rPr>
        <w:t xml:space="preserve">Отсутствие оценки затрат может свидетельствовать о недостаточной проработанности законопроекта.</w:t>
      </w: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Изменения вносимые в статью 36 Федерального зак</w:t>
      </w:r>
      <w:r>
        <w:rPr>
          <w:rFonts w:ascii="Times New Roman" w:hAnsi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/>
          <w:sz w:val="28"/>
          <w:szCs w:val="28"/>
          <w:highlight w:val="none"/>
        </w:rPr>
        <w:t xml:space="preserve">на № 73-ФЗ в части проведения оценки воздействия планируемых работ, до разработки мероприятий по обеспечению сохранности объектов культурного наследия (по всей видимости сотрудниками региональных органов охраны объектов культурного наследия (нормы пункта 3</w:t>
      </w:r>
      <w:r>
        <w:rPr>
          <w:rFonts w:ascii="Times New Roman" w:hAnsi="Times New Roman"/>
          <w:sz w:val="28"/>
          <w:szCs w:val="28"/>
          <w:highlight w:val="none"/>
          <w:vertAlign w:val="superscript"/>
        </w:rPr>
        <w:t xml:space="preserve">1</w:t>
      </w:r>
      <w:r>
        <w:rPr>
          <w:rFonts w:ascii="Times New Roman" w:hAnsi="Times New Roman"/>
          <w:sz w:val="28"/>
          <w:szCs w:val="28"/>
          <w:highlight w:val="none"/>
          <w:vertAlign w:val="baseline"/>
        </w:rPr>
        <w:t xml:space="preserve">))</w:t>
      </w:r>
      <w:r>
        <w:rPr>
          <w:rFonts w:ascii="Times New Roman" w:hAnsi="Times New Roman"/>
          <w:sz w:val="28"/>
          <w:szCs w:val="28"/>
          <w:highlight w:val="none"/>
        </w:rPr>
        <w:t xml:space="preserve">, с учетом отсутствия требований к указанной оценке, с</w:t>
      </w:r>
      <w:r>
        <w:rPr>
          <w:rFonts w:ascii="Times New Roman" w:hAnsi="Times New Roman"/>
          <w:sz w:val="28"/>
          <w:szCs w:val="28"/>
          <w:highlight w:val="none"/>
        </w:rPr>
        <w:t xml:space="preserve"> учетом существенных правовых и экономических последствий для широкого круга лиц, от указанной оценки, может привести к возникновению коррупциогенных факторов и создаст риски сдерживания инвестиционно-строительных процессов, в особенности, в крупных </w:t>
      </w:r>
      <w:r>
        <w:rPr>
          <w:rFonts w:ascii="Times New Roman" w:hAnsi="Times New Roman"/>
          <w:sz w:val="28"/>
          <w:szCs w:val="28"/>
          <w:highlight w:val="none"/>
        </w:rPr>
        <w:t xml:space="preserve">городах и иных высоко урбанизированных территориях с пространственно-ограниченным потенциалом хозяйственного развития.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03"/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  <w:highlight w:val="none"/>
        </w:rPr>
        <w:t xml:space="preserve">Поддерживаются предложения законопроекта в части </w:t>
      </w:r>
      <w:r>
        <w:rPr>
          <w:rFonts w:ascii="Times New Roman" w:hAnsi="Times New Roman"/>
          <w:sz w:val="28"/>
          <w:szCs w:val="28"/>
        </w:rPr>
        <w:t xml:space="preserve">регулирование полномочий по установлению порядка </w:t>
      </w:r>
      <w:r>
        <w:rPr>
          <w:rFonts w:ascii="Times New Roman" w:hAnsi="Times New Roman"/>
          <w:sz w:val="28"/>
          <w:szCs w:val="28"/>
        </w:rPr>
        <w:t xml:space="preserve">формирования и ведения предусмотренного законопроектом перечня выдаваемых разрешений (открытых листов) на проведение работ по выявлению и изучению объектов археологического наследия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Вместе с тем, в законопроекте имеется большое количество подзаконных актов которые необходимо утвердить Правительством Российской Федерации, Минкультурой России, Минобнаукой России, отсутствуют их проекты, как часть приложений к законопроекту. </w:t>
      </w:r>
      <w:r>
        <w:rPr>
          <w:rFonts w:ascii="Times New Roman" w:hAnsi="Times New Roman"/>
          <w:sz w:val="28"/>
          <w:szCs w:val="28"/>
        </w:rPr>
        <w:t xml:space="preserve">Отсутствие проектов подзаконных актов, необходимых для реализации законопроекта, может привести к ряду негативных последствий. Подзаконные акты играют ключевую роль в детализации и практическом применении норм, уста</w:t>
      </w:r>
      <w:r>
        <w:rPr>
          <w:rFonts w:ascii="Times New Roman" w:hAnsi="Times New Roman"/>
          <w:sz w:val="28"/>
          <w:szCs w:val="28"/>
        </w:rPr>
        <w:t xml:space="preserve">новленных законопроектом. Если они отсутствуют, это может создать правовые пробелы и затруднить понимание законопроекта. </w:t>
      </w:r>
      <w:r>
        <w:rPr>
          <w:rFonts w:ascii="Times New Roman" w:hAnsi="Times New Roman"/>
          <w:sz w:val="28"/>
          <w:szCs w:val="28"/>
        </w:rPr>
        <w:t xml:space="preserve">Их отсутствие,</w:t>
      </w:r>
      <w:r>
        <w:rPr>
          <w:rFonts w:ascii="Times New Roman" w:hAnsi="Times New Roman"/>
          <w:sz w:val="28"/>
          <w:szCs w:val="28"/>
        </w:rPr>
        <w:t xml:space="preserve"> создаёт неясность в толковании и применении норм законопроекта. В дальнейшем, при принятии законопроекта, это может привести к разночтениям и спорам между участниками правоотношений. </w:t>
      </w:r>
      <w:r>
        <w:rPr>
          <w:rFonts w:ascii="Times New Roman" w:hAnsi="Times New Roman"/>
          <w:sz w:val="28"/>
          <w:szCs w:val="28"/>
        </w:rPr>
        <w:t xml:space="preserve">Если подзаконные акты не разработаны и не представлены вместе с законопроектом, имеются следующие риски: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603"/>
        <w:numPr>
          <w:ilvl w:val="0"/>
          <w:numId w:val="3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права и обязанности</w:t>
      </w:r>
      <w:r>
        <w:rPr>
          <w:rFonts w:ascii="Times New Roman" w:hAnsi="Times New Roman"/>
          <w:sz w:val="28"/>
          <w:szCs w:val="28"/>
        </w:rPr>
        <w:t xml:space="preserve"> участников правоотношений</w:t>
      </w:r>
      <w:r>
        <w:rPr>
          <w:rFonts w:ascii="Times New Roman" w:hAnsi="Times New Roman"/>
          <w:sz w:val="28"/>
          <w:szCs w:val="28"/>
        </w:rPr>
        <w:t xml:space="preserve">, предусмотренные законопроектом, не могут быть оценены;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03"/>
        <w:numPr>
          <w:ilvl w:val="0"/>
          <w:numId w:val="3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  <w:t xml:space="preserve">подзаконные акты необходимы для организации работы исполнительных органов, без них они не смогут выполнять свои функции в рамках закона, подобных примеров, при реализации норм Федерального закона № 73-ФЗ, множество;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03"/>
        <w:numPr>
          <w:ilvl w:val="0"/>
          <w:numId w:val="3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  <w:t xml:space="preserve">законопроект </w:t>
      </w:r>
      <w:r>
        <w:rPr>
          <w:rFonts w:ascii="Times New Roman" w:hAnsi="Times New Roman"/>
          <w:sz w:val="28"/>
          <w:szCs w:val="28"/>
        </w:rPr>
        <w:t xml:space="preserve">вводит новые полномочия для исполнительных органов субъектов Российской Федерации, но в отсутствии принятых подзаконных актов, регулирующих их реализацию, эти полномочия останутся неисполнимыми;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03"/>
        <w:numPr>
          <w:ilvl w:val="0"/>
          <w:numId w:val="3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риски судебных разбирательств</w:t>
      </w:r>
      <w:r>
        <w:rPr>
          <w:rFonts w:ascii="Times New Roman" w:hAnsi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Отсутствие подзаконных актов может привести к спорам между гражданами, организациями и исполнительными органами. Это увеличивает нагрузку на судебную систему. </w:t>
      </w:r>
      <w:r>
        <w:rPr>
          <w:rFonts w:ascii="Times New Roman" w:hAnsi="Times New Roman"/>
          <w:sz w:val="28"/>
          <w:szCs w:val="28"/>
        </w:rPr>
        <w:t xml:space="preserve">Если закон устанавливает новые правила, но не определены процедуры их применения, суды будут вынуждены самостоятельно интерпретировать нормы.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03"/>
        <w:numPr>
          <w:ilvl w:val="0"/>
          <w:numId w:val="3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экономические потери. </w:t>
      </w:r>
      <w:r>
        <w:rPr>
          <w:rFonts w:ascii="Times New Roman" w:hAnsi="Times New Roman"/>
          <w:sz w:val="28"/>
          <w:szCs w:val="28"/>
        </w:rPr>
        <w:t xml:space="preserve">В бизнесе и экономике отсутствие подзаконных актов может привести к задержке реализации проектов, нарушению контрактов. </w:t>
      </w:r>
      <w:r>
        <w:rPr>
          <w:rFonts w:ascii="Times New Roman" w:hAnsi="Times New Roman"/>
          <w:sz w:val="28"/>
          <w:szCs w:val="28"/>
        </w:rPr>
        <w:t xml:space="preserve">Неисполнение законов из-за отсутствия подзаконных актов может подорвать доверие граждан и бизнеса к государству. Это особенно важно в условиях, когда закон принимается для решения актуальных социальных или экономических проблем.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</w:rPr>
        <w:t xml:space="preserve">Предлагаем: Обратиться к инициаторам законопроекта с предложением ускорить разработку подзаконных актов и представить их вместе с законопроектом (к первому чтению).</w:t>
      </w:r>
      <w:r>
        <w:rPr>
          <w:rFonts w:ascii="Times New Roman" w:hAnsi="Times New Roman"/>
          <w:sz w:val="28"/>
          <w:szCs w:val="28"/>
        </w:rPr>
      </w:r>
      <w:r/>
    </w:p>
    <w:p>
      <w:pPr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Авторы законопроекта предприняли попытку урегулировать порядок проведения археологической разведки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При этом 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асценки на проведение археологических полевых работ предлагается утверждать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порядке, установленном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Правительств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Российской Федерации, что, безусловно, поддерживается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Вместе с тем, предлагаемое регулирование не позволит достигнуть заявленной цели, поскольку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обязанности хозяйствующих субъектов заключать и оплачивать договоры 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проведени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археологической разведки до начала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хозяйственного освоения территорий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должна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корреспондировать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обязанность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держателей «открытых листов» заключать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такие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договоры по обращению хозяйствующих субъектов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 также исполнять их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предельные сроки, также установленные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Таким образом, подпункты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vertAlign w:val="superscript"/>
          <w:lang w:eastAsia="ru-RU"/>
        </w:rPr>
        <w:t xml:space="preserve"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vertAlign w:val="baseline"/>
          <w:lang w:eastAsia="ru-RU"/>
        </w:rPr>
        <w:t xml:space="preserve">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/>
          <w:sz w:val="28"/>
          <w:szCs w:val="28"/>
          <w:vertAlign w:val="superscript"/>
          <w:lang w:eastAsia="ru-RU"/>
        </w:rPr>
        <w:t xml:space="preserve">3</w:t>
      </w:r>
      <w:r>
        <w:rPr>
          <w:rFonts w:ascii="Times New Roman" w:hAnsi="Times New Roman" w:eastAsia="Times New Roman"/>
          <w:sz w:val="28"/>
          <w:szCs w:val="28"/>
          <w:vertAlign w:val="baseline"/>
          <w:lang w:eastAsia="ru-RU"/>
        </w:rPr>
        <w:t xml:space="preserve">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подпункта 18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противоречат Гражданскому кодексу Российской Федерации и Конституции Российской Федерации, и требуют доработки.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numPr>
          <w:ilvl w:val="0"/>
          <w:numId w:val="1"/>
        </w:numPr>
        <w:ind w:left="0" w:right="0" w:firstLine="567"/>
        <w:jc w:val="both"/>
        <w:spacing w:after="0" w:line="360" w:lineRule="auto"/>
        <w:tabs>
          <w:tab w:val="left" w:pos="850" w:leader="none"/>
        </w:tabs>
        <w:rPr>
          <w:rFonts w:ascii="Times New Roman" w:hAnsi="Times New Roman" w:eastAsia="Times New Roman" w:cs="Times New Roman"/>
          <w:b/>
          <w:bCs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Законопроектом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предусматривается распространение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государственного контроля (надзора) в области охраны объектов культурного наследия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на проведение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археологических полевых работ,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что в целом поддерживается.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Вместе с тем,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включение в предмет федерального и регионального контроля (надзора) в области охраны объектов культурного наследия проверки соблюдения 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условий</w:t>
      </w:r>
      <w:r>
        <w:rPr>
          <w:rFonts w:ascii="Times New Roman" w:hAnsi="Times New Roman" w:eastAsia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проведения археологических полевых работ,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повлечет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нагрузку на бюджет субъектов Российской Федерации, а при осуществлении переданных полномочий на федеральный бюджет. В настоящее время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отсутствует ФЭО на обязанность проведения конт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рольно-надзор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ных мероприятий в местах проведения археологических разведок, добираться до которых, в условиях, например, Ханты-Мансийского автономного округа – Югры, приходится на вертолётах или на транспорте высокой проходимости, аренда которых имеет высокую стоимость.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Так же потребуется увеличение штатной численности инспекторского состава, с учетом необходимости проведения большого количества внеплановых проверок. В Югре в 2024 году проведено более 470 экспертиз земельных участков, подлежащих хозяйственному освоению.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2025-02-05T16:22:16Z</dcterms:modified>
</cp:coreProperties>
</file>