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4394"/>
        <w:gridCol w:w="4961"/>
      </w:tblGrid>
      <w:tr w:rsidR="002C18CD">
        <w:tc>
          <w:tcPr>
            <w:tcW w:w="43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C18CD" w:rsidRDefault="002C18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C18CD" w:rsidRDefault="009B55F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6"/>
                <w:szCs w:val="6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  <w:p w:rsidR="002C18CD" w:rsidRDefault="009B55F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6"/>
                <w:szCs w:val="6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 Думы</w:t>
            </w:r>
          </w:p>
          <w:p w:rsidR="002C18CD" w:rsidRDefault="009B55F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6"/>
                <w:szCs w:val="6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2C18CD" w:rsidRDefault="009B55FD">
            <w:pPr>
              <w:ind w:right="-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6"/>
                <w:szCs w:val="6"/>
              </w:rPr>
              <w:t xml:space="preserve">            </w:t>
            </w:r>
          </w:p>
          <w:p w:rsidR="002C18CD" w:rsidRDefault="002C18CD">
            <w:pPr>
              <w:ind w:right="-74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2C18CD" w:rsidRDefault="002C18C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6378"/>
        <w:gridCol w:w="2977"/>
      </w:tblGrid>
      <w:tr w:rsidR="002C18CD">
        <w:tc>
          <w:tcPr>
            <w:tcW w:w="63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C18CD" w:rsidRDefault="002C18C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C18CD" w:rsidRDefault="009B55FD">
            <w:pPr>
              <w:ind w:right="-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Вносится Думой</w:t>
            </w:r>
          </w:p>
          <w:p w:rsidR="002C18CD" w:rsidRDefault="009B55FD">
            <w:pPr>
              <w:ind w:right="-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Ставропольского края</w:t>
            </w:r>
          </w:p>
        </w:tc>
      </w:tr>
    </w:tbl>
    <w:p w:rsidR="002C18CD" w:rsidRDefault="002C18C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355"/>
      </w:tblGrid>
      <w:tr w:rsidR="002C18CD">
        <w:tc>
          <w:tcPr>
            <w:tcW w:w="935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C18CD" w:rsidRDefault="009B55FD">
            <w:pPr>
              <w:ind w:right="-7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</w:t>
            </w:r>
          </w:p>
        </w:tc>
      </w:tr>
    </w:tbl>
    <w:p w:rsidR="002C18CD" w:rsidRDefault="002C18C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C18CD" w:rsidRDefault="002C18C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C18CD" w:rsidRDefault="009B55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2C18CD" w:rsidRDefault="002C18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18CD" w:rsidRDefault="009B55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ФЕДЕРАЛЬНЫЙ ЗАКОН</w:t>
      </w:r>
    </w:p>
    <w:p w:rsidR="002C18CD" w:rsidRDefault="002C18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18CD" w:rsidRDefault="009B55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Федеральный закон</w:t>
      </w:r>
    </w:p>
    <w:p w:rsidR="002C18CD" w:rsidRDefault="009B55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«Об объектах культурного наследия (памятниках истории и культуры) народов Российской Федерации»</w:t>
      </w:r>
    </w:p>
    <w:p w:rsidR="002C18CD" w:rsidRDefault="002C1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C18CD" w:rsidRDefault="002C18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C18CD" w:rsidRDefault="009B55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2C18CD" w:rsidRDefault="009B55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Внести в Федеральный закон от 25 июня 2002 года № 73-ФЗ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«Об объектах культурного наследия (памятниках истории и культуры) народов Российской Федерации» (Собрание законодательства Российской Федерации,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2004, № 35, ст. 3607; 2007, № 1, ст. 21; 2011, № 47, ст. 6606; 2011, № 49, ст. 7026; 2012, № 47, ст. 6390; 2013, № 17, ст. 2030; 2013, № 30, ст. 4078;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2014, № 43, ст. 5799; 2014, № 49, ст. 6928; 2016, № 1, ст. 79; 2018, № 32,                          ст. 5135; 2021, № 24, ст. 4188; 2021, № 24, ст. 4211; 2022, № 43, ст. 7270; 2023, № 31, ст. 5804; 2023, № 43, ст. 7606)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2C18CD" w:rsidRDefault="009B55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подпункт «11» пункта 1 статьи 9 после слов «об исключении объекта культурного наследия» дополнить словами «федерального значения»;</w:t>
      </w:r>
    </w:p>
    <w:p w:rsidR="002C18CD" w:rsidRDefault="009B55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подпункт «12» статьи 9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sz w:val="28"/>
          <w:szCs w:val="28"/>
        </w:rPr>
        <w:t>дополнить словами «, об исключении объекта культурного наследия регионального значения и объекта культурного наследия местного (муниципального) значения из указанного реестра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18CD" w:rsidRDefault="009B55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статью 23 изложить в следующей редакции:</w:t>
      </w:r>
    </w:p>
    <w:tbl>
      <w:tblPr>
        <w:tblStyle w:val="ae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1701"/>
        <w:gridCol w:w="7228"/>
      </w:tblGrid>
      <w:tr w:rsidR="002C18CD"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C18CD" w:rsidRDefault="009B55FD">
            <w:pPr>
              <w:jc w:val="both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  <w:r>
              <w:rPr>
                <w:rFonts w:ascii="Times New Roman" w:eastAsia="Times New Roman" w:hAnsi="Times New Roman" w:cs="Times New Roman"/>
                <w:sz w:val="4"/>
                <w:szCs w:val="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«Статья 23.</w:t>
            </w:r>
          </w:p>
        </w:tc>
        <w:tc>
          <w:tcPr>
            <w:tcW w:w="72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2C18CD" w:rsidRDefault="009B55F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Исключение объекта культурного наследия из реестра</w:t>
            </w:r>
          </w:p>
        </w:tc>
      </w:tr>
    </w:tbl>
    <w:p w:rsidR="002C18CD" w:rsidRDefault="002C1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8CD" w:rsidRDefault="009B55F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Исключение из реестра объекта культурного наследия осуществляется на основании:</w:t>
      </w:r>
    </w:p>
    <w:p w:rsidR="002C18CD" w:rsidRDefault="009B55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акта Правительства Российской Федерации в отношении объекта культурного наследия федерального значения – по представлению федерального органа охраны объектов культурного наследия на основании </w:t>
      </w:r>
      <w:r>
        <w:rPr>
          <w:rFonts w:ascii="Times New Roman" w:hAnsi="Times New Roman"/>
          <w:sz w:val="28"/>
          <w:szCs w:val="28"/>
        </w:rPr>
        <w:lastRenderedPageBreak/>
        <w:t>заключения государственной историко-культурной экспертизы, если иное не установлено подпунктом «3» пункта 1 настоящей статьи;</w:t>
      </w:r>
    </w:p>
    <w:p w:rsidR="002C18CD" w:rsidRDefault="009B55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акта высшего исполнительного органа субъекта Российской Федерации в отношении объекта культурного наследия регионального значения – по представлению регионального органа охраны объектов культурного наследия на основании заключения государственной историко-культурной экспертизы;</w:t>
      </w:r>
    </w:p>
    <w:p w:rsidR="002C18CD" w:rsidRDefault="009B55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акта высшего исполнительного органа субъекта Российской Федерации в отношении объекта культурного наследия местного (муниципального) значения – по представлению регионального органа охраны объектов культурного наследия на основании заключения государственной историко-культурной экспертизы и обращения органа местного самоуправления.</w:t>
      </w:r>
    </w:p>
    <w:p w:rsidR="002C18CD" w:rsidRDefault="009B55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Исключение объекта культурного наследия из реестра осуществляется в случае полной физической утраты объекта культурного наследия или утраты им историко-культурного значения.</w:t>
      </w:r>
    </w:p>
    <w:p w:rsidR="002C18CD" w:rsidRDefault="009B55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Исключение из реестра объекта археологического наследия, в отношении которого проведены спасательные археологические работы, в результате которых полностью изъяты археологические предметы, осуществляется на основании </w:t>
      </w:r>
      <w:proofErr w:type="gramStart"/>
      <w:r>
        <w:rPr>
          <w:rFonts w:ascii="Times New Roman" w:hAnsi="Times New Roman"/>
          <w:sz w:val="28"/>
          <w:szCs w:val="28"/>
        </w:rPr>
        <w:t>акта федерального органа охраны объектов культурного наследия</w:t>
      </w:r>
      <w:proofErr w:type="gramEnd"/>
      <w:r>
        <w:rPr>
          <w:rFonts w:ascii="Times New Roman" w:hAnsi="Times New Roman"/>
          <w:sz w:val="28"/>
          <w:szCs w:val="28"/>
        </w:rPr>
        <w:t xml:space="preserve"> на основании научного отчета о выполненных археологических полевых работах.</w:t>
      </w:r>
    </w:p>
    <w:p w:rsidR="002C18CD" w:rsidRDefault="009B55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 xml:space="preserve">В случае включения в реестр </w:t>
      </w:r>
      <w:r w:rsidRPr="00980AD1">
        <w:rPr>
          <w:rFonts w:ascii="Times New Roman" w:hAnsi="Times New Roman"/>
          <w:sz w:val="28"/>
          <w:szCs w:val="28"/>
          <w:highlight w:val="green"/>
        </w:rPr>
        <w:t>сведений о категории историко-культурного 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0AD1">
        <w:rPr>
          <w:rFonts w:ascii="Times New Roman" w:hAnsi="Times New Roman"/>
          <w:sz w:val="28"/>
          <w:szCs w:val="28"/>
          <w:highlight w:val="yellow"/>
        </w:rPr>
        <w:t>одного и того же объекта культурного наследия в качестве объекта культурного наследия федерального значения и в качестве объекта культурного наследия регионального значения и (или) объекта культурного наследия местного (муниципального) значения</w:t>
      </w:r>
      <w:r>
        <w:rPr>
          <w:rFonts w:ascii="Times New Roman" w:hAnsi="Times New Roman"/>
          <w:sz w:val="28"/>
          <w:szCs w:val="28"/>
        </w:rPr>
        <w:t>, сведения о нем как об объекте культурного наследия регионального значения и (или) объекте культурного наследия местного (муниципального) значения подлежат исключению</w:t>
      </w:r>
      <w:proofErr w:type="gramEnd"/>
      <w:r>
        <w:rPr>
          <w:rFonts w:ascii="Times New Roman" w:hAnsi="Times New Roman"/>
          <w:sz w:val="28"/>
          <w:szCs w:val="28"/>
        </w:rPr>
        <w:t xml:space="preserve"> из реестра без заключения государственной историко-культурной экспертизы, а решение о его включении в реестр как объекта культурного наследия регионального значения и (или) объекта культурного наследия местного (муниципального) значения подлежит признанию </w:t>
      </w:r>
      <w:proofErr w:type="gramStart"/>
      <w:r>
        <w:rPr>
          <w:rFonts w:ascii="Times New Roman" w:hAnsi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/>
          <w:sz w:val="28"/>
          <w:szCs w:val="28"/>
        </w:rPr>
        <w:t xml:space="preserve"> силу.</w:t>
      </w:r>
    </w:p>
    <w:p w:rsidR="002C18CD" w:rsidRDefault="009B55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 xml:space="preserve">В случае включения в реестр </w:t>
      </w:r>
      <w:r w:rsidRPr="00980AD1">
        <w:rPr>
          <w:rFonts w:ascii="Times New Roman" w:hAnsi="Times New Roman"/>
          <w:sz w:val="28"/>
          <w:szCs w:val="28"/>
          <w:highlight w:val="green"/>
        </w:rPr>
        <w:t>сведений о категории историко-культурного 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0AD1">
        <w:rPr>
          <w:rFonts w:ascii="Times New Roman" w:hAnsi="Times New Roman"/>
          <w:sz w:val="28"/>
          <w:szCs w:val="28"/>
          <w:highlight w:val="yellow"/>
        </w:rPr>
        <w:t>одного и того же объекта культурного наследия в качестве объекта культурного наследия регионального значения и в качестве объекта культурного наследия местного (муниципального) значения</w:t>
      </w:r>
      <w:r>
        <w:rPr>
          <w:rFonts w:ascii="Times New Roman" w:hAnsi="Times New Roman"/>
          <w:sz w:val="28"/>
          <w:szCs w:val="28"/>
        </w:rPr>
        <w:t>, сведения о нем как об объекте культурного наследия местного (муниципального) значения подлежат исключению из реестра без заключения государственной историко-культурной экспертизы, а решение о его включении в реестр</w:t>
      </w:r>
      <w:proofErr w:type="gramEnd"/>
      <w:r>
        <w:rPr>
          <w:rFonts w:ascii="Times New Roman" w:hAnsi="Times New Roman"/>
          <w:sz w:val="28"/>
          <w:szCs w:val="28"/>
        </w:rPr>
        <w:t xml:space="preserve"> как объекта культурного наследия местного (муниципального) значения подлежит признанию </w:t>
      </w:r>
      <w:proofErr w:type="gramStart"/>
      <w:r>
        <w:rPr>
          <w:rFonts w:ascii="Times New Roman" w:hAnsi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/>
          <w:sz w:val="28"/>
          <w:szCs w:val="28"/>
        </w:rPr>
        <w:t xml:space="preserve"> силу.»;</w:t>
      </w:r>
      <w:r w:rsidR="00980AD1">
        <w:rPr>
          <w:rStyle w:val="afc"/>
        </w:rPr>
        <w:commentReference w:id="0"/>
      </w:r>
    </w:p>
    <w:p w:rsidR="002C18CD" w:rsidRDefault="009B55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4) пункт 3 статьи 64 дополнить абзацем следующего содержания: </w:t>
      </w:r>
    </w:p>
    <w:p w:rsidR="002C18CD" w:rsidRDefault="009B55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«В случае обнаружения документов и (или) материалов исследований, подтверждающих необоснованность принятия памятников истории и культуры </w:t>
      </w:r>
      <w:r w:rsidRPr="00165BFF">
        <w:rPr>
          <w:rFonts w:ascii="Times New Roman" w:hAnsi="Times New Roman"/>
          <w:sz w:val="28"/>
          <w:szCs w:val="28"/>
        </w:rPr>
        <w:t>местного значения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на государственную охрану в соответствии с законодательными и иными правовыми актами СССР и РСФСР, такие памятники подлежат снятию с государственной охраны и исключению из реестра на основании акта органа государственной власти субъекта Российской Федерации в установленном им порядке.».</w:t>
      </w:r>
      <w:proofErr w:type="gramEnd"/>
    </w:p>
    <w:p w:rsidR="002C18CD" w:rsidRDefault="002C18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8CD" w:rsidRDefault="009B55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</w:t>
      </w:r>
    </w:p>
    <w:p w:rsidR="002C18CD" w:rsidRDefault="009B55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Настоящий Федеральный закон вступает в силу по истечении девяноста дней со дня его официального опубликования.</w:t>
      </w:r>
    </w:p>
    <w:p w:rsidR="002C18CD" w:rsidRDefault="002C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8CD" w:rsidRDefault="002C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18CD" w:rsidRDefault="009B55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2C18CD" w:rsidRDefault="002C1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C18CD" w:rsidRDefault="002C1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C18CD" w:rsidRDefault="002C1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2C18CD">
      <w:headerReference w:type="default" r:id="rId9"/>
      <w:headerReference w:type="first" r:id="rId10"/>
      <w:footerReference w:type="first" r:id="rId11"/>
      <w:pgSz w:w="11906" w:h="16838"/>
      <w:pgMar w:top="1560" w:right="567" w:bottom="1135" w:left="1984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am5" w:date="2025-01-31T14:28:00Z" w:initials="P">
    <w:p w:rsidR="00165BFF" w:rsidRDefault="00165BFF">
      <w:pPr>
        <w:pStyle w:val="afd"/>
      </w:pPr>
      <w:r>
        <w:rPr>
          <w:rStyle w:val="afc"/>
        </w:rPr>
        <w:annotationRef/>
      </w:r>
      <w:r>
        <w:t>Статью 23 дополнить пунктом 6: «6. В случае включения в реестр одного и того же объекта культурного наследия в качестве объекта культурного наследия регионального значения или в качестве объекта культурного наследия местного (муниципального) значения, сведения об одном из них подлежат исключению из реестра в порядке, предусмотренном подпунктами 2, 3 пункта 1 статьи 23 настоящего Федерального закона.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BFF" w:rsidRDefault="00165BFF">
      <w:pPr>
        <w:spacing w:after="0" w:line="240" w:lineRule="auto"/>
      </w:pPr>
      <w:r>
        <w:separator/>
      </w:r>
    </w:p>
  </w:endnote>
  <w:endnote w:type="continuationSeparator" w:id="0">
    <w:p w:rsidR="00165BFF" w:rsidRDefault="00165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BFF" w:rsidRDefault="00165BF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BFF" w:rsidRDefault="00165BFF">
      <w:pPr>
        <w:spacing w:after="0" w:line="240" w:lineRule="auto"/>
      </w:pPr>
      <w:r>
        <w:separator/>
      </w:r>
    </w:p>
  </w:footnote>
  <w:footnote w:type="continuationSeparator" w:id="0">
    <w:p w:rsidR="00165BFF" w:rsidRDefault="00165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BFF" w:rsidRDefault="00165BFF">
    <w:pPr>
      <w:pStyle w:val="a9"/>
      <w:jc w:val="right"/>
      <w:rPr>
        <w:rFonts w:ascii="Times New Roman" w:hAnsi="Times New Roman" w:cs="Times New Roman"/>
        <w:sz w:val="28"/>
        <w:szCs w:val="28"/>
      </w:rPr>
    </w:pPr>
    <w:r>
      <w:fldChar w:fldCharType="begin"/>
    </w:r>
    <w:r>
      <w:instrText>PAGE \* MERGEFORMAT</w:instrText>
    </w:r>
    <w:r>
      <w:fldChar w:fldCharType="separate"/>
    </w:r>
    <w:r w:rsidR="008554D7" w:rsidRPr="008554D7">
      <w:rPr>
        <w:rFonts w:ascii="Times New Roman" w:eastAsia="Times New Roman" w:hAnsi="Times New Roman" w:cs="Times New Roman"/>
        <w:noProof/>
        <w:sz w:val="28"/>
        <w:szCs w:val="28"/>
      </w:rPr>
      <w:t>3</w:t>
    </w:r>
    <w:r>
      <w:rPr>
        <w:rFonts w:ascii="Times New Roman" w:eastAsia="Times New Roman" w:hAnsi="Times New Roman" w:cs="Times New Roman"/>
        <w:sz w:val="28"/>
        <w:szCs w:val="28"/>
      </w:rPr>
      <w:fldChar w:fldCharType="end"/>
    </w:r>
  </w:p>
  <w:p w:rsidR="00165BFF" w:rsidRDefault="00165BF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BFF" w:rsidRDefault="00165BF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533D6"/>
    <w:multiLevelType w:val="hybridMultilevel"/>
    <w:tmpl w:val="A016F782"/>
    <w:lvl w:ilvl="0" w:tplc="D9202BC6">
      <w:start w:val="1"/>
      <w:numFmt w:val="decimal"/>
      <w:lvlText w:val="%1)"/>
      <w:lvlJc w:val="left"/>
      <w:pPr>
        <w:ind w:left="1418" w:hanging="360"/>
      </w:pPr>
    </w:lvl>
    <w:lvl w:ilvl="1" w:tplc="9CF26366">
      <w:start w:val="1"/>
      <w:numFmt w:val="lowerLetter"/>
      <w:lvlText w:val="%2."/>
      <w:lvlJc w:val="left"/>
      <w:pPr>
        <w:ind w:left="2138" w:hanging="360"/>
      </w:pPr>
    </w:lvl>
    <w:lvl w:ilvl="2" w:tplc="AFBEA5A2">
      <w:start w:val="1"/>
      <w:numFmt w:val="lowerRoman"/>
      <w:lvlText w:val="%3."/>
      <w:lvlJc w:val="right"/>
      <w:pPr>
        <w:ind w:left="2858" w:hanging="180"/>
      </w:pPr>
    </w:lvl>
    <w:lvl w:ilvl="3" w:tplc="D2AA5772">
      <w:start w:val="1"/>
      <w:numFmt w:val="decimal"/>
      <w:lvlText w:val="%4."/>
      <w:lvlJc w:val="left"/>
      <w:pPr>
        <w:ind w:left="3578" w:hanging="360"/>
      </w:pPr>
    </w:lvl>
    <w:lvl w:ilvl="4" w:tplc="1C5E9172">
      <w:start w:val="1"/>
      <w:numFmt w:val="lowerLetter"/>
      <w:lvlText w:val="%5."/>
      <w:lvlJc w:val="left"/>
      <w:pPr>
        <w:ind w:left="4298" w:hanging="360"/>
      </w:pPr>
    </w:lvl>
    <w:lvl w:ilvl="5" w:tplc="6C602544">
      <w:start w:val="1"/>
      <w:numFmt w:val="lowerRoman"/>
      <w:lvlText w:val="%6."/>
      <w:lvlJc w:val="right"/>
      <w:pPr>
        <w:ind w:left="5018" w:hanging="180"/>
      </w:pPr>
    </w:lvl>
    <w:lvl w:ilvl="6" w:tplc="14E26FFC">
      <w:start w:val="1"/>
      <w:numFmt w:val="decimal"/>
      <w:lvlText w:val="%7."/>
      <w:lvlJc w:val="left"/>
      <w:pPr>
        <w:ind w:left="5738" w:hanging="360"/>
      </w:pPr>
    </w:lvl>
    <w:lvl w:ilvl="7" w:tplc="72BC0234">
      <w:start w:val="1"/>
      <w:numFmt w:val="lowerLetter"/>
      <w:lvlText w:val="%8."/>
      <w:lvlJc w:val="left"/>
      <w:pPr>
        <w:ind w:left="6458" w:hanging="360"/>
      </w:pPr>
    </w:lvl>
    <w:lvl w:ilvl="8" w:tplc="C870F3EE">
      <w:start w:val="1"/>
      <w:numFmt w:val="lowerRoman"/>
      <w:lvlText w:val="%9."/>
      <w:lvlJc w:val="right"/>
      <w:pPr>
        <w:ind w:left="7178" w:hanging="180"/>
      </w:pPr>
    </w:lvl>
  </w:abstractNum>
  <w:abstractNum w:abstractNumId="1">
    <w:nsid w:val="41680773"/>
    <w:multiLevelType w:val="hybridMultilevel"/>
    <w:tmpl w:val="FEBE5CE6"/>
    <w:lvl w:ilvl="0" w:tplc="4F6A2C1E">
      <w:start w:val="1"/>
      <w:numFmt w:val="decimal"/>
      <w:lvlText w:val="%1."/>
      <w:lvlJc w:val="left"/>
      <w:pPr>
        <w:ind w:left="1418" w:hanging="360"/>
      </w:pPr>
    </w:lvl>
    <w:lvl w:ilvl="1" w:tplc="E068AE64">
      <w:start w:val="1"/>
      <w:numFmt w:val="lowerLetter"/>
      <w:lvlText w:val="%2."/>
      <w:lvlJc w:val="left"/>
      <w:pPr>
        <w:ind w:left="2138" w:hanging="360"/>
      </w:pPr>
    </w:lvl>
    <w:lvl w:ilvl="2" w:tplc="A8AA2E20">
      <w:start w:val="1"/>
      <w:numFmt w:val="lowerRoman"/>
      <w:lvlText w:val="%3."/>
      <w:lvlJc w:val="right"/>
      <w:pPr>
        <w:ind w:left="2858" w:hanging="180"/>
      </w:pPr>
    </w:lvl>
    <w:lvl w:ilvl="3" w:tplc="F68AC53C">
      <w:start w:val="1"/>
      <w:numFmt w:val="decimal"/>
      <w:lvlText w:val="%4."/>
      <w:lvlJc w:val="left"/>
      <w:pPr>
        <w:ind w:left="3578" w:hanging="360"/>
      </w:pPr>
    </w:lvl>
    <w:lvl w:ilvl="4" w:tplc="31563796">
      <w:start w:val="1"/>
      <w:numFmt w:val="lowerLetter"/>
      <w:lvlText w:val="%5."/>
      <w:lvlJc w:val="left"/>
      <w:pPr>
        <w:ind w:left="4298" w:hanging="360"/>
      </w:pPr>
    </w:lvl>
    <w:lvl w:ilvl="5" w:tplc="CFAA46AC">
      <w:start w:val="1"/>
      <w:numFmt w:val="lowerRoman"/>
      <w:lvlText w:val="%6."/>
      <w:lvlJc w:val="right"/>
      <w:pPr>
        <w:ind w:left="5018" w:hanging="180"/>
      </w:pPr>
    </w:lvl>
    <w:lvl w:ilvl="6" w:tplc="A010063A">
      <w:start w:val="1"/>
      <w:numFmt w:val="decimal"/>
      <w:lvlText w:val="%7."/>
      <w:lvlJc w:val="left"/>
      <w:pPr>
        <w:ind w:left="5738" w:hanging="360"/>
      </w:pPr>
    </w:lvl>
    <w:lvl w:ilvl="7" w:tplc="3BC686E2">
      <w:start w:val="1"/>
      <w:numFmt w:val="lowerLetter"/>
      <w:lvlText w:val="%8."/>
      <w:lvlJc w:val="left"/>
      <w:pPr>
        <w:ind w:left="6458" w:hanging="360"/>
      </w:pPr>
    </w:lvl>
    <w:lvl w:ilvl="8" w:tplc="0F92DACE">
      <w:start w:val="1"/>
      <w:numFmt w:val="lowerRoman"/>
      <w:lvlText w:val="%9."/>
      <w:lvlJc w:val="right"/>
      <w:pPr>
        <w:ind w:left="7178" w:hanging="180"/>
      </w:pPr>
    </w:lvl>
  </w:abstractNum>
  <w:abstractNum w:abstractNumId="2">
    <w:nsid w:val="58D82D59"/>
    <w:multiLevelType w:val="hybridMultilevel"/>
    <w:tmpl w:val="D1D6797C"/>
    <w:lvl w:ilvl="0" w:tplc="ED465300">
      <w:start w:val="1"/>
      <w:numFmt w:val="decimal"/>
      <w:lvlText w:val="%1."/>
      <w:lvlJc w:val="left"/>
      <w:pPr>
        <w:ind w:left="1417" w:hanging="360"/>
      </w:pPr>
    </w:lvl>
    <w:lvl w:ilvl="1" w:tplc="8C32EE08">
      <w:start w:val="1"/>
      <w:numFmt w:val="lowerLetter"/>
      <w:lvlText w:val="%2."/>
      <w:lvlJc w:val="left"/>
      <w:pPr>
        <w:ind w:left="2137" w:hanging="360"/>
      </w:pPr>
    </w:lvl>
    <w:lvl w:ilvl="2" w:tplc="3B5A5C76">
      <w:start w:val="1"/>
      <w:numFmt w:val="lowerRoman"/>
      <w:lvlText w:val="%3."/>
      <w:lvlJc w:val="right"/>
      <w:pPr>
        <w:ind w:left="2857" w:hanging="180"/>
      </w:pPr>
    </w:lvl>
    <w:lvl w:ilvl="3" w:tplc="8CB6A678">
      <w:start w:val="1"/>
      <w:numFmt w:val="decimal"/>
      <w:lvlText w:val="%4."/>
      <w:lvlJc w:val="left"/>
      <w:pPr>
        <w:ind w:left="3577" w:hanging="360"/>
      </w:pPr>
    </w:lvl>
    <w:lvl w:ilvl="4" w:tplc="CF94F680">
      <w:start w:val="1"/>
      <w:numFmt w:val="lowerLetter"/>
      <w:lvlText w:val="%5."/>
      <w:lvlJc w:val="left"/>
      <w:pPr>
        <w:ind w:left="4297" w:hanging="360"/>
      </w:pPr>
    </w:lvl>
    <w:lvl w:ilvl="5" w:tplc="4B7E739E">
      <w:start w:val="1"/>
      <w:numFmt w:val="lowerRoman"/>
      <w:lvlText w:val="%6."/>
      <w:lvlJc w:val="right"/>
      <w:pPr>
        <w:ind w:left="5017" w:hanging="180"/>
      </w:pPr>
    </w:lvl>
    <w:lvl w:ilvl="6" w:tplc="19D6905A">
      <w:start w:val="1"/>
      <w:numFmt w:val="decimal"/>
      <w:lvlText w:val="%7."/>
      <w:lvlJc w:val="left"/>
      <w:pPr>
        <w:ind w:left="5737" w:hanging="360"/>
      </w:pPr>
    </w:lvl>
    <w:lvl w:ilvl="7" w:tplc="6FB862F0">
      <w:start w:val="1"/>
      <w:numFmt w:val="lowerLetter"/>
      <w:lvlText w:val="%8."/>
      <w:lvlJc w:val="left"/>
      <w:pPr>
        <w:ind w:left="6457" w:hanging="360"/>
      </w:pPr>
    </w:lvl>
    <w:lvl w:ilvl="8" w:tplc="18EC7E3C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8CD"/>
    <w:rsid w:val="00165BFF"/>
    <w:rsid w:val="002C18CD"/>
    <w:rsid w:val="008554D7"/>
    <w:rsid w:val="00980AD1"/>
    <w:rsid w:val="009B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sid w:val="00980AD1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980AD1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980AD1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980AD1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980AD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sid w:val="00980AD1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980AD1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980AD1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980AD1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980A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Pam5</cp:lastModifiedBy>
  <cp:revision>10</cp:revision>
  <dcterms:created xsi:type="dcterms:W3CDTF">2024-12-13T13:49:00Z</dcterms:created>
  <dcterms:modified xsi:type="dcterms:W3CDTF">2025-01-31T11:36:00Z</dcterms:modified>
</cp:coreProperties>
</file>