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2085" w:leader="none"/>
          <w:tab w:val="right" w:pos="14570" w:leader="none"/>
        </w:tabs>
        <w:jc w:val="right"/>
        <w:rPr>
          <w:sz w:val="28"/>
        </w:rPr>
      </w:pPr>
      <w:r>
        <w:rPr>
          <w:sz w:val="28"/>
        </w:rPr>
        <w:t>ПРОЕКТ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ListParagraph1"/>
        <w:ind w:left="0" w:right="0" w:hanging="0"/>
        <w:jc w:val="center"/>
        <w:rPr>
          <w:sz w:val="28"/>
        </w:rPr>
      </w:pPr>
      <w:r>
        <w:rPr>
          <w:sz w:val="28"/>
        </w:rPr>
        <w:t xml:space="preserve">Программа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профилактики рисков причинения вреда (ущерба) охраняемым законом ценностям при осуществлении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на территории Ивановской области на 2024 год</w:t>
      </w:r>
    </w:p>
    <w:p>
      <w:pPr>
        <w:pStyle w:val="NormalWeb1"/>
        <w:spacing w:before="0" w:after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Web1"/>
        <w:tabs>
          <w:tab w:val="clear" w:pos="720"/>
          <w:tab w:val="left" w:pos="709" w:leader="none"/>
        </w:tabs>
        <w:spacing w:before="360" w:after="12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Программа профилактики рисков причинения вреда (ущерба) охраняемым законом ценностям при осуществлении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на территории Ивановской области на 2024 год (далее – Программа) разработана во исполнение статьи 44 Федерального закона от 31.07.2020 № 248-ФЗ «О государственном контроле (надзоре) и муниципальном контроле в Российской Федерации» 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 25.06.2021 № 990.</w:t>
      </w:r>
    </w:p>
    <w:p>
      <w:pPr>
        <w:pStyle w:val="NormalWeb1"/>
        <w:spacing w:before="0" w:after="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 xml:space="preserve">Программа представляет собой взаимосвязанный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 </w:t>
      </w:r>
    </w:p>
    <w:p>
      <w:pPr>
        <w:pStyle w:val="NormalWeb1"/>
        <w:tabs>
          <w:tab w:val="clear" w:pos="720"/>
          <w:tab w:val="left" w:pos="709" w:leader="none"/>
        </w:tabs>
        <w:spacing w:before="360" w:after="12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Web1"/>
        <w:spacing w:before="360" w:after="120"/>
        <w:contextualSpacing/>
        <w:jc w:val="center"/>
        <w:rPr>
          <w:sz w:val="28"/>
        </w:rPr>
      </w:pPr>
      <w:r>
        <w:rPr>
          <w:sz w:val="28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>
      <w:pPr>
        <w:pStyle w:val="NormalWeb1"/>
        <w:spacing w:before="0" w:after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В соответствии со статьей 11 Федерального закона «Об объектах культурного наследия (памятниках истории и культуры) народов Российской Федерации» (далее – Закон № 73-ФЗ), Положением о комитете Ивановской области по государственной охране объектов культурного наследия, утвержденным постановлением Правительства Ивановской области от 24.12.2015 № 594-п, комитет Ивановской области по государственной охране объектов культурного наследия (далее − Комитет) осуществляет федеральный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наследия на территории Ивановской области.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федеральный государственный контроль (надзор) за состоянием, содержанием, сохранением, использованием, популяризацией и государственной охраной объектов культурного наследия на территории Ивановской области осуществлялся в соответствии с Федеральным законом от 31.07.2020 № 248-ФЗ «О государственном контроле (надзоре) и муниципальном контроле в Российской Федерации» и с учетом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не проводились плановые проверки, т.к. не предусмотрены действующим законодательством в указанной сфере, протоколы об административных правонарушениях не составлялись.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контрольные (надзорные) мероприятия проведены на основании программ проверок, либо без взаимодействия с контролируемыми лицами.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период с 01.01.2023 по 30.09.2023 были приняты 18 программ проверок, проведено 9 мероприятий без взаимодействия (5 в формате выездного обследования, 4 в формате наблюдения за соблюдением обязательных требований).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текущей деятельности выдано 11 предостережений о недопустимости нарушения обязательных требований.</w:t>
      </w:r>
    </w:p>
    <w:p>
      <w:pPr>
        <w:pStyle w:val="Normal"/>
        <w:widowControl w:val="false"/>
        <w:spacing w:before="0" w:after="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В целях профилактики нарушений обязательных требований Комитетом: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134" w:leader="none"/>
        </w:tabs>
        <w:spacing w:before="0" w:after="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размещены на официальном сайте надзорного органа Перечни актов, содержащих обязательные требования, соблюдение которых оценивается при осуществлении соответствующего вида надзора;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134" w:leader="none"/>
        </w:tabs>
        <w:spacing w:before="0" w:after="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 xml:space="preserve">в рамках проводимых надзорных мероприятий должностными лицами комитета </w:t>
      </w:r>
      <w:r>
        <w:rPr>
          <w:color w:val="000000"/>
          <w:sz w:val="28"/>
        </w:rPr>
        <w:t>Ивановской области по государственной охране объектов культурного наследия</w:t>
      </w:r>
      <w:r>
        <w:rPr>
          <w:sz w:val="28"/>
        </w:rPr>
        <w:t xml:space="preserve"> юридическим лицам и индивидуальным предпринимателям оказывается методическая помощь, даются консультации, разъясняются требования законодательства.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134" w:leader="none"/>
        </w:tabs>
        <w:spacing w:before="0" w:after="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обеспечено обобщение практики осуществления в соответствующей сфере деятельности государственного контроля (надзора) и размещение на официальных сайтах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1134" w:leader="none"/>
        </w:tabs>
        <w:spacing w:before="0" w:after="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организована выдача предостережений о недопустимости нарушения требований, установленных Федеральным законом от 25.06.2002 № 73-ФЗ «Об объектах культурного наследия (памятниках истории и культуры) народов Российской Федерации»,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программы ожидается повышение уровня информированности подконтрольных субъектов по вопросам соблюдения обязательных требований, повышение правовой грамотности подконтрольных субъектов, формирование ответственного отношения к проблемам сохранения объектов культурного наследия и выработка внутренней мотивации к позитивному правовому поведению, что в результате должно привести к снижению количества нарушений обязательных требований и минимизации угрозы причинения вреда охраняемым законом ценностям.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Типичными нарушениями обязательных требований законодательства Российской Федерации в области охраны объектов культурного наследия являются: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 проведение собственником (пользователем) объекта культурного наследия работ по сохранению объекта культурного наследия при наличии необходимости проведения таких работ;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несвоевременное извещение органа охраны объектов культурного наследия собственником (пользователем) объекта культурного наследия органа охраны объектов культурного наследия о повреждениях, авариях (иных обстоятельствах), причинивших вред объекту культурного наследия, и непринятие мер по предотвращению дальнейшего разрушения (повреждения) такого объекта;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проведение работ, изменяющих предмет охраны объекта культурного наследия либо ухудшающих условия, необходимые для сохранности объекта культурного наследия (размещение кондиционеров, вывесок и пр.);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проведение работ по сохранению объекта культурного наследия без разрешения и согласования органа охраны объектов культурного наследия;</w:t>
      </w:r>
    </w:p>
    <w:p>
      <w:pPr>
        <w:pStyle w:val="ConsPlusNormal1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проведение строительных и иных работ вблизи объекта культурного наследия в отсутствие в проектной документации разделов, предусматривающих мероприятия по обеспечению сохранности объектов культурного наследия, согласованных органами охраны объектов культурного наследия.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Ключевым риском при реализации Программы является различное толкование содержания обязательных требований подконтрольными субъектами, что может привести к нарушению ими обязательных требований законодательства в области охраны объектов культурного наследия.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 xml:space="preserve">Комитетом в рамках организованной профилактической работы в 2023 году проводились консультации по вопросам касающихся объектов культурного наследия, по телефону, по средством электронной почты. 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Профилактическая работа осуществлялась Комитетом в течение всего 2023 года.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Раздел 2. Цели и задачи реализации Программы </w:t>
      </w:r>
    </w:p>
    <w:p>
      <w:pPr>
        <w:pStyle w:val="NormalWeb1"/>
        <w:spacing w:before="120" w:after="120"/>
        <w:contextualSpacing/>
        <w:jc w:val="center"/>
        <w:rPr>
          <w:sz w:val="28"/>
        </w:rPr>
      </w:pPr>
      <w:r>
        <w:rPr>
          <w:sz w:val="28"/>
        </w:rPr>
      </w:r>
    </w:p>
    <w:p>
      <w:pPr>
        <w:pStyle w:val="NormalWeb1"/>
        <w:spacing w:before="120" w:after="0"/>
        <w:ind w:left="0" w:right="0" w:firstLine="709"/>
        <w:contextualSpacing/>
        <w:jc w:val="both"/>
        <w:rPr>
          <w:sz w:val="28"/>
        </w:rPr>
      </w:pPr>
      <w:r>
        <w:rPr>
          <w:sz w:val="28"/>
        </w:rPr>
        <w:t>Профилактическая работа в Комитете представляет собой системно организованную деятельность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>
      <w:pPr>
        <w:pStyle w:val="ConsPlusNormal1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предупреждение нарушений подконтрольными субъектами обязательных требований (снижение числа нарушений обязательных требований);</w:t>
      </w:r>
    </w:p>
    <w:p>
      <w:pPr>
        <w:pStyle w:val="ConsPlusNormal1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предотвращение причинения вреда либо угрозы причинения вреда охраняемым законом ценностям вследствие нарушений обязательных требований;</w:t>
      </w:r>
    </w:p>
    <w:p>
      <w:pPr>
        <w:pStyle w:val="ConsPlusNormal1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прозрачности деятельности Комитета при осуществлении регионального государственного контроля (надзора) за состоянием,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содержанием, сохранением, использованием, популяризацией и государственной охраной объектов культурного наследия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регионального значения, объектов культурного наследия местного (муниципального) значения, выявленных объектов культурного наследия;</w:t>
      </w:r>
    </w:p>
    <w:p>
      <w:pPr>
        <w:pStyle w:val="ConsPlusNormal1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моделей социально ответственного, добросовестного, правового поведения подконтрольных субъектов.</w:t>
      </w:r>
    </w:p>
    <w:p>
      <w:pPr>
        <w:pStyle w:val="ConsPlusNormal1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поставленных целей настоящей программы необходимо решение следующих задач:</w:t>
      </w:r>
    </w:p>
    <w:p>
      <w:pPr>
        <w:pStyle w:val="ConsPlusNormal1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выявление причин, факторов и условий, способствующих возможному нарушению обязательных требований;</w:t>
      </w:r>
    </w:p>
    <w:p>
      <w:pPr>
        <w:pStyle w:val="ConsPlusNormal1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устранение причин, факторов и условий, способствующих возможному нарушению обязательных требований;</w:t>
      </w:r>
    </w:p>
    <w:p>
      <w:pPr>
        <w:pStyle w:val="ConsPlusNormal1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повышение уровня правовой грамотности подконтрольных субъектов;</w:t>
      </w:r>
    </w:p>
    <w:p>
      <w:pPr>
        <w:pStyle w:val="ConsPlusNormal1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 единого понимания обязательных требований у всех участников отношений в области регионального государственного надзора, в том числе путем разъяснения подконтрольным субъектам обязательных требований;</w:t>
      </w:r>
    </w:p>
    <w:p>
      <w:pPr>
        <w:pStyle w:val="ConsPlusNormal1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мотивация подконтрольных субъектов к добросовестному поведению и, как следствие, снижение вреда, причиняемого охраняемым законом ценностям;</w:t>
      </w:r>
    </w:p>
    <w:p>
      <w:pPr>
        <w:pStyle w:val="ConsPlusNormal1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оценка состояния подконтрольной среды и особенностей подконтрольных субъектов (объектов);</w:t>
      </w:r>
    </w:p>
    <w:p>
      <w:pPr>
        <w:pStyle w:val="ConsPlusNormal1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 профилактических мероприятий с учетом данных состояния подконтрольной среды и особенностей конкретных подконтрольных субъектов (объектов);</w:t>
      </w:r>
    </w:p>
    <w:p>
      <w:pPr>
        <w:pStyle w:val="ConsPlusNormal1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сбор и анализ статистических данных, необходимых для организации профилактической работы, в том числе для определения видов, форм и интенсивности профилактических мероприятий;</w:t>
      </w:r>
    </w:p>
    <w:p>
      <w:pPr>
        <w:pStyle w:val="ConsPlusNormal1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повышение квалификации сотрудников Комитета, уполномоченных на осуществление регионального государственного надзора;</w:t>
      </w:r>
    </w:p>
    <w:p>
      <w:pPr>
        <w:pStyle w:val="ConsPlusNormal1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системы взаимодействия между подконтрольными субъектами и Комитетом, обеспечивающей наиболее полное информирование подконтрольных субъектов по вопросам соблюдения обязательных требований и проводимой Комитетом профилактической работы, в том числе с использованием современных информационно-телекоммуникационных технологий.</w:t>
      </w:r>
    </w:p>
    <w:p>
      <w:pPr>
        <w:pStyle w:val="ConsPlusNormal1"/>
        <w:ind w:left="0"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Web1"/>
        <w:spacing w:before="120" w:after="0"/>
        <w:contextualSpacing/>
        <w:jc w:val="center"/>
        <w:rPr>
          <w:sz w:val="28"/>
        </w:rPr>
      </w:pPr>
      <w:r>
        <w:rPr>
          <w:sz w:val="28"/>
        </w:rPr>
        <w:t xml:space="preserve">Раздел 3. Перечень профилактических мероприятий, сроки </w:t>
      </w:r>
    </w:p>
    <w:p>
      <w:pPr>
        <w:pStyle w:val="NormalWeb1"/>
        <w:spacing w:before="120" w:after="0"/>
        <w:contextualSpacing/>
        <w:jc w:val="center"/>
        <w:rPr>
          <w:sz w:val="28"/>
        </w:rPr>
      </w:pPr>
      <w:r>
        <w:rPr>
          <w:sz w:val="28"/>
        </w:rPr>
        <w:t>и периодичность их проведения</w:t>
      </w:r>
    </w:p>
    <w:p>
      <w:pPr>
        <w:pStyle w:val="NormalWeb1"/>
        <w:spacing w:before="120" w:after="0"/>
        <w:contextualSpacing/>
        <w:jc w:val="center"/>
        <w:rPr>
          <w:sz w:val="28"/>
        </w:rPr>
      </w:pPr>
      <w:r>
        <w:rPr>
          <w:sz w:val="28"/>
        </w:rPr>
      </w:r>
    </w:p>
    <w:tbl>
      <w:tblPr>
        <w:tblStyle w:val="Style_6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3038"/>
        <w:gridCol w:w="3698"/>
        <w:gridCol w:w="2319"/>
      </w:tblGrid>
      <w:tr>
        <w:trPr>
          <w:trHeight w:val="776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ind w:left="0" w:right="0" w:hanging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№ </w:t>
            </w:r>
            <w:r>
              <w:rPr>
                <w:spacing w:val="0"/>
                <w:kern w:val="0"/>
                <w:sz w:val="28"/>
                <w:szCs w:val="20"/>
              </w:rPr>
              <w:t>п/п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ind w:left="0" w:right="0" w:hanging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Наименование мероприятия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ind w:left="0" w:right="0" w:hanging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Срок выполнения мероприятия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ind w:left="0" w:right="0" w:hanging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Ответственный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0" w:right="0" w:hanging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за исполнение</w:t>
            </w:r>
          </w:p>
        </w:tc>
      </w:tr>
      <w:tr>
        <w:trPr>
          <w:trHeight w:val="1693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60" w:after="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both"/>
              <w:rPr>
                <w:spacing w:val="-6"/>
                <w:sz w:val="28"/>
              </w:rPr>
            </w:pPr>
            <w:r>
              <w:rPr>
                <w:spacing w:val="-6"/>
                <w:kern w:val="0"/>
                <w:sz w:val="28"/>
                <w:szCs w:val="20"/>
              </w:rPr>
              <w:t>Информирование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в течение 10 дней с момента принятия нормативных правовых актов, программ, перечней, руководств и иных сведений или внесения в них изменений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Tahoma" w:cs="Noto Sans Devanagari" w:ascii="Times New Roman" w:hAnsi="Times New Roman"/>
                <w:spacing w:val="0"/>
                <w:kern w:val="0"/>
                <w:sz w:val="28"/>
                <w:szCs w:val="20"/>
                <w:lang w:val="ru-RU" w:eastAsia="zh-CN" w:bidi="hi-IN"/>
              </w:rPr>
              <w:t>Отдел государственного надзора и учета объектов культурного наследия Комитета Ивановской области по государственной охране объектов культурного наследия</w:t>
            </w:r>
          </w:p>
          <w:p>
            <w:pPr>
              <w:pStyle w:val="ConsPlusNormal1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rFonts w:eastAsia="Tahoma" w:cs="Noto Sans Devanagari" w:ascii="Times New Roman" w:hAnsi="Times New Roman"/>
                <w:spacing w:val="0"/>
                <w:kern w:val="0"/>
                <w:sz w:val="28"/>
                <w:szCs w:val="20"/>
                <w:lang w:val="ru-RU" w:eastAsia="zh-CN" w:bidi="hi-IN"/>
              </w:rPr>
              <w:t>(далее – Отдел)</w:t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60" w:after="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Обобщение правоприменительной практики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не позднее 1 февраля года, следующего за отчетным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0"/>
              <w:ind w:left="0" w:right="0" w:hanging="0"/>
              <w:contextualSpacing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Отдел</w:t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60" w:after="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Объявление предостережения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center"/>
              <w:rPr>
                <w:sz w:val="28"/>
              </w:rPr>
            </w:pPr>
            <w:r>
              <w:rPr>
                <w:spacing w:val="-2"/>
                <w:kern w:val="0"/>
                <w:sz w:val="28"/>
                <w:szCs w:val="20"/>
              </w:rPr>
              <w:t>не позднее 30 дней со дня получения сведений, указанных в пункте 1 статьи 49 Федерального закона от 31.07.2020 № 248-ФЗ «О государственном контроле (надзоре) и муниципальном контроле в Российской Федерации»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0"/>
              <w:ind w:left="0" w:right="0" w:hanging="0"/>
              <w:contextualSpacing/>
              <w:jc w:val="center"/>
              <w:rPr>
                <w:color w:val="FF0000"/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Отдел</w:t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60" w:after="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Консультирование: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- по телефону;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- посредством видео-конференц-связи;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- на личном приеме;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- в ходе проведения профилактического мероприятия, контрольного мероприятия.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Консультирование осуществляется по следующим вопросам: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16" w:leader="none"/>
              </w:tabs>
              <w:suppressAutoHyphens w:val="true"/>
              <w:spacing w:before="60" w:after="6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о порядке исполнения обязательных требований;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316" w:leader="none"/>
              </w:tabs>
              <w:suppressAutoHyphens w:val="true"/>
              <w:spacing w:before="60" w:after="6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о порядке исполнения выданного Комитетом предписания, объявленного Комитетом предостережения;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16" w:leader="none"/>
              </w:tabs>
              <w:suppressAutoHyphens w:val="true"/>
              <w:spacing w:before="60" w:after="6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3)</w:t>
              <w:tab/>
              <w:t>по вопросам, связанным с организацией и осуществлением регионального государственного контроля (надзора) в отношении объекта контроля, собственником или иным законным владельцем которого является контролируемое лицо, обратившееся за консультированием.</w:t>
            </w:r>
          </w:p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Консультирование по вопросу порядка исполнения выданного Комитетом предписания, объявленного Комитетом предостережения осуществляется в письменном виде.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0"/>
              <w:ind w:left="0" w:right="0" w:hanging="0"/>
              <w:contextualSpacing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ежедневно,</w:t>
            </w:r>
          </w:p>
          <w:p>
            <w:pPr>
              <w:pStyle w:val="Normal"/>
              <w:widowControl w:val="false"/>
              <w:suppressAutoHyphens w:val="true"/>
              <w:spacing w:before="60" w:after="0"/>
              <w:ind w:left="0" w:right="0" w:hanging="0"/>
              <w:contextualSpacing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кроме выходных и праздничных дней</w:t>
            </w:r>
          </w:p>
          <w:p>
            <w:pPr>
              <w:pStyle w:val="Normal"/>
              <w:widowControl w:val="false"/>
              <w:suppressAutoHyphens w:val="true"/>
              <w:spacing w:before="60" w:after="0"/>
              <w:ind w:left="0" w:right="0" w:hanging="0"/>
              <w:contextualSpacing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с 09:00 до 18:00</w:t>
            </w:r>
          </w:p>
          <w:p>
            <w:pPr>
              <w:pStyle w:val="Normal"/>
              <w:widowControl w:val="false"/>
              <w:suppressAutoHyphens w:val="true"/>
              <w:spacing w:before="60" w:after="0"/>
              <w:ind w:left="0" w:right="0" w:hanging="0"/>
              <w:contextualSpacing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(в пятницу – с 09:00 до 16:45),</w:t>
            </w:r>
          </w:p>
          <w:p>
            <w:pPr>
              <w:pStyle w:val="Normal"/>
              <w:widowControl w:val="false"/>
              <w:suppressAutoHyphens w:val="true"/>
              <w:spacing w:before="60" w:after="0"/>
              <w:ind w:left="0" w:right="0" w:hanging="0"/>
              <w:contextualSpacing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перерыв с 13:00 до 13:45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eastAsia="Tahoma" w:cs="Noto Sans Devanagari" w:ascii="Times New Roman" w:hAnsi="Times New Roman"/>
                <w:spacing w:val="0"/>
                <w:kern w:val="0"/>
                <w:sz w:val="28"/>
                <w:szCs w:val="20"/>
                <w:lang w:val="ru-RU" w:eastAsia="zh-CN" w:bidi="hi-IN"/>
              </w:rPr>
              <w:t>Отдел</w:t>
            </w:r>
          </w:p>
        </w:tc>
      </w:tr>
      <w:tr>
        <w:trPr/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60" w:after="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rFonts w:eastAsia="Tahoma" w:cs="Noto Sans Devanagari" w:ascii="Calibri" w:hAnsi="Calib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Профилактический визит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0"/>
              <w:ind w:left="0" w:right="0" w:hanging="0"/>
              <w:contextualSpacing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IV квартал (мероприятие проводится при наличии оснований, предусмотренных Федеральным законом                       от 31.07.2020 № 248-ФЗ            «О государственном контроле (надзоре) и муниципальном контроле             </w:t>
            </w:r>
            <w:r>
              <w:rPr>
                <w:rFonts w:ascii="Tinos" w:hAnsi="Tinos"/>
                <w:b w:val="false"/>
                <w:bCs w:val="false"/>
                <w:color w:val="000000"/>
                <w:spacing w:val="0"/>
                <w:kern w:val="0"/>
                <w:sz w:val="28"/>
                <w:szCs w:val="28"/>
              </w:rPr>
              <w:t xml:space="preserve">в Российской Федерации»          </w:t>
            </w:r>
            <w:r>
              <w:rPr>
                <w:rFonts w:ascii="Tinos" w:hAnsi="Tinos"/>
                <w:b w:val="false"/>
                <w:bCs w:val="false"/>
                <w:color w:val="000000"/>
                <w:spacing w:val="0"/>
                <w:kern w:val="0"/>
                <w:sz w:val="28"/>
                <w:szCs w:val="28"/>
              </w:rPr>
              <w:t xml:space="preserve">и 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п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остановление Правительства Р</w:t>
            </w:r>
            <w:r>
              <w:rPr>
                <w:rFonts w:eastAsia="Tahoma" w:cs="Noto Sans Devanagari" w:ascii="Tinos" w:hAnsi="Tinos"/>
                <w:b w:val="false"/>
                <w:bCs w:val="false"/>
                <w:i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lang w:val="ru-RU" w:eastAsia="zh-CN" w:bidi="hi-IN"/>
              </w:rPr>
              <w:t>оссийской Федерации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от 30.06.2021           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№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 xml:space="preserve"> 1093 «О федеральном государственном контроле (надзоре) за состоянием, содержанием, сохранением, использованием, популяризацией                          и государственной охраной объектов культурного наследия»</w:t>
            </w:r>
            <w:r>
              <w:rPr>
                <w:rFonts w:ascii="Tinos" w:hAnsi="Tinos"/>
                <w:b w:val="false"/>
                <w:bCs w:val="false"/>
                <w:i w:val="false"/>
                <w:strike w:val="false"/>
                <w:dstrike w:val="false"/>
                <w:sz w:val="28"/>
                <w:szCs w:val="28"/>
                <w:u w:val="none"/>
              </w:rPr>
              <w:t>)</w:t>
            </w:r>
          </w:p>
          <w:p>
            <w:pPr>
              <w:pStyle w:val="Normal"/>
              <w:ind w:left="0" w:right="0" w:hanging="0"/>
              <w:jc w:val="both"/>
              <w:rPr>
                <w:rFonts w:ascii="Tinos" w:hAnsi="Tinos"/>
              </w:rPr>
            </w:pPr>
            <w:r>
              <w:rPr>
                <w:rFonts w:ascii="Tinos" w:hAnsi="Tinos"/>
              </w:rPr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suppressAutoHyphens w:val="true"/>
              <w:spacing w:before="0" w:after="0"/>
              <w:ind w:left="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 w:ascii="Times New Roman" w:hAnsi="Times New Roman"/>
                <w:spacing w:val="0"/>
                <w:kern w:val="0"/>
                <w:sz w:val="28"/>
                <w:szCs w:val="20"/>
                <w:lang w:val="ru-RU" w:eastAsia="zh-CN" w:bidi="hi-IN"/>
              </w:rPr>
              <w:t>Отдел</w:t>
            </w:r>
          </w:p>
        </w:tc>
      </w:tr>
    </w:tbl>
    <w:p>
      <w:pPr>
        <w:pStyle w:val="NormalWeb1"/>
        <w:spacing w:before="0" w:after="0"/>
        <w:contextualSpacing/>
        <w:jc w:val="both"/>
        <w:rPr>
          <w:sz w:val="28"/>
        </w:rPr>
      </w:pPr>
      <w:r>
        <w:rPr>
          <w:sz w:val="28"/>
        </w:rPr>
      </w:r>
    </w:p>
    <w:p>
      <w:pPr>
        <w:pStyle w:val="NormalWeb1"/>
        <w:spacing w:before="120" w:after="0"/>
        <w:contextualSpacing/>
        <w:jc w:val="center"/>
        <w:rPr>
          <w:sz w:val="28"/>
        </w:rPr>
      </w:pPr>
      <w:r>
        <w:rPr>
          <w:sz w:val="28"/>
        </w:rPr>
        <w:t xml:space="preserve">Раздел 4. Показатели результативности и эффективности </w:t>
      </w:r>
    </w:p>
    <w:p>
      <w:pPr>
        <w:pStyle w:val="NormalWeb1"/>
        <w:spacing w:before="120" w:after="0"/>
        <w:contextualSpacing/>
        <w:jc w:val="center"/>
        <w:rPr>
          <w:sz w:val="28"/>
        </w:rPr>
      </w:pPr>
      <w:r>
        <w:rPr>
          <w:sz w:val="28"/>
        </w:rPr>
        <w:t>Программы профилактики</w:t>
      </w:r>
    </w:p>
    <w:p>
      <w:pPr>
        <w:pStyle w:val="NormalWeb1"/>
        <w:spacing w:before="120" w:after="0"/>
        <w:contextualSpacing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Основными критериями оценки эффективности и результативности профилактических мероприятий являются: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- результативность деятельности Комитета;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- 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- понятность обязательных требований контролируемым лицам;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- вовлечение контролируемых лиц во взаимодействие с Комитетом, в том числе в рамках проводимых профилактических мероприятий.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показателям: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- количество проведенных профилактических мероприятий, ед.;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- количество докладов по профилактике нарушений обязательных требований, размещенных на официальном сайте Комитета в информационно-телекоммуникационной сети Интернет, ед.;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- количество контролируемых лиц, в отношении которых проведены профилактические мероприятия, ед.;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- наличие на официальном сайте Комитета в информационно-телекоммуникационной сети Интернет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- 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- количество обобщений практики осуществления регионального государственного контроля (надзора), размещенных на официальном сайте Комитета в информационно-телекоммуникационной сети Интернет, ед.;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комитетом.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Показатели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эффективности и результативности профилактических мероприятий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в 2024 году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tbl>
      <w:tblPr>
        <w:tblStyle w:val="Style_6"/>
        <w:tblW w:w="9572" w:type="dxa"/>
        <w:jc w:val="left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</w:tblPr>
      <w:tblGrid>
        <w:gridCol w:w="510"/>
        <w:gridCol w:w="7074"/>
        <w:gridCol w:w="1988"/>
      </w:tblGrid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№ </w:t>
            </w:r>
            <w:r>
              <w:rPr>
                <w:spacing w:val="0"/>
                <w:kern w:val="0"/>
                <w:sz w:val="28"/>
                <w:szCs w:val="20"/>
              </w:rPr>
              <w:t>п/п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Наименование показателя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Величина</w:t>
            </w:r>
          </w:p>
        </w:tc>
      </w:tr>
      <w:tr>
        <w:trPr>
          <w:trHeight w:val="61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1.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Полнота информации, размещаемая на официальном сайте Комитета в информационно-телекоммуникационной сети Интернет в соответствии с пунктом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ind w:left="0" w:right="0" w:hanging="0"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100%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2.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Удовлетворенность доступностью на официальном сайте Комитета в информационно-телекоммуникационной сети Интернет для контролируемых лиц информации о принятых и готовящихся изменениях обязательных требований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не менее 80%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3.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Проведение профилактических мероприятий, предусмотренных перечнем, в соответствии со сроками (периодичностью) их проведения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100%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4.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both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Количество проведенных профилактических мероприятий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60" w:after="60"/>
              <w:ind w:left="0" w:right="0" w:hanging="0"/>
              <w:contextualSpacing/>
              <w:jc w:val="center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не менее 4</w:t>
            </w:r>
            <w:bookmarkStart w:id="0" w:name="_GoBack"/>
            <w:bookmarkEnd w:id="0"/>
          </w:p>
        </w:tc>
      </w:tr>
    </w:tbl>
    <w:p>
      <w:pPr>
        <w:pStyle w:val="Normal"/>
        <w:ind w:left="0" w:right="0" w:firstLine="709"/>
        <w:jc w:val="both"/>
        <w:rPr>
          <w:sz w:val="28"/>
        </w:rPr>
      </w:pPr>
      <w:r>
        <w:rPr/>
      </w:r>
    </w:p>
    <w:sectPr>
      <w:headerReference w:type="default" r:id="rId2"/>
      <w:type w:val="nextPage"/>
      <w:pgSz w:w="11906" w:h="16838"/>
      <w:pgMar w:left="1418" w:right="851" w:header="709" w:top="1134" w:footer="0" w:bottom="993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930" cy="17462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44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197.95pt;margin-top:0.05pt;width:85.8pt;height:13.65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Style2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414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2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21_ch"/>
    <w:uiPriority w:val="9"/>
    <w:qFormat/>
    <w:pPr>
      <w:keepNext w:val="true"/>
      <w:spacing w:lineRule="exact" w:line="240"/>
      <w:ind w:left="216" w:right="0" w:hanging="216"/>
      <w:outlineLvl w:val="0"/>
    </w:pPr>
    <w:rPr>
      <w:sz w:val="28"/>
    </w:rPr>
  </w:style>
  <w:style w:type="paragraph" w:styleId="2">
    <w:name w:val="Heading 2"/>
    <w:next w:val="Normal"/>
    <w:link w:val="Style_35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13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34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20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7"/>
    <w:qFormat/>
    <w:rPr>
      <w:rFonts w:ascii="XO Thames" w:hAnsi="XO Thames"/>
      <w:sz w:val="28"/>
    </w:rPr>
  </w:style>
  <w:style w:type="character" w:styleId="Contents4">
    <w:name w:val="Contents 4"/>
    <w:link w:val="Style_8"/>
    <w:qFormat/>
    <w:rPr>
      <w:rFonts w:ascii="XO Thames" w:hAnsi="XO Thames"/>
      <w:sz w:val="28"/>
    </w:rPr>
  </w:style>
  <w:style w:type="character" w:styleId="Contents6">
    <w:name w:val="Contents 6"/>
    <w:link w:val="Style_9"/>
    <w:qFormat/>
    <w:rPr>
      <w:rFonts w:ascii="XO Thames" w:hAnsi="XO Thames"/>
      <w:sz w:val="28"/>
    </w:rPr>
  </w:style>
  <w:style w:type="character" w:styleId="ConsPlusNonformat">
    <w:name w:val="ConsPlusNonformat"/>
    <w:link w:val="Style_10"/>
    <w:qFormat/>
    <w:rPr>
      <w:rFonts w:ascii="Courier New" w:hAnsi="Courier New"/>
      <w:color w:val="000000"/>
      <w:sz w:val="20"/>
    </w:rPr>
  </w:style>
  <w:style w:type="character" w:styleId="Contents7">
    <w:name w:val="Contents 7"/>
    <w:link w:val="Style_11"/>
    <w:qFormat/>
    <w:rPr>
      <w:rFonts w:ascii="XO Thames" w:hAnsi="XO Thames"/>
      <w:sz w:val="28"/>
    </w:rPr>
  </w:style>
  <w:style w:type="character" w:styleId="Header">
    <w:name w:val="Header"/>
    <w:link w:val="Style_1"/>
    <w:qFormat/>
    <w:rPr/>
  </w:style>
  <w:style w:type="character" w:styleId="ConsPlusNormal">
    <w:name w:val="ConsPlusNormal"/>
    <w:link w:val="Style_5"/>
    <w:qFormat/>
    <w:rPr>
      <w:rFonts w:ascii="Calibri" w:hAnsi="Calibri" w:asciiTheme="minorAscii" w:hAnsiTheme="minorHAnsi"/>
      <w:color w:val="000000"/>
      <w:sz w:val="22"/>
    </w:rPr>
  </w:style>
  <w:style w:type="character" w:styleId="NormalWeb">
    <w:name w:val="Normal (Web)"/>
    <w:link w:val="Style_4"/>
    <w:qFormat/>
    <w:rPr/>
  </w:style>
  <w:style w:type="character" w:styleId="Textbody">
    <w:name w:val="Text body"/>
    <w:link w:val="Style_12"/>
    <w:qFormat/>
    <w:rPr/>
  </w:style>
  <w:style w:type="character" w:styleId="Heading3">
    <w:name w:val="Heading 3"/>
    <w:link w:val="Style_13"/>
    <w:qFormat/>
    <w:rPr>
      <w:rFonts w:ascii="XO Thames" w:hAnsi="XO Thames"/>
      <w:b/>
      <w:sz w:val="26"/>
    </w:rPr>
  </w:style>
  <w:style w:type="character" w:styleId="Caption">
    <w:name w:val="Caption"/>
    <w:link w:val="Style_14"/>
    <w:qFormat/>
    <w:rPr>
      <w:rFonts w:ascii="PT Astra Serif" w:hAnsi="PT Astra Serif"/>
      <w:i/>
      <w:sz w:val="24"/>
    </w:rPr>
  </w:style>
  <w:style w:type="character" w:styleId="Style9">
    <w:name w:val="Заголовок"/>
    <w:link w:val="Style_15"/>
    <w:qFormat/>
    <w:rPr>
      <w:rFonts w:ascii="PT Astra Serif" w:hAnsi="PT Astra Serif"/>
      <w:sz w:val="28"/>
    </w:rPr>
  </w:style>
  <w:style w:type="character" w:styleId="DefaultParagraphFont">
    <w:name w:val="Default Paragraph Font"/>
    <w:link w:val="Style_16"/>
    <w:qFormat/>
    <w:rPr/>
  </w:style>
  <w:style w:type="character" w:styleId="Contents3">
    <w:name w:val="Contents 3"/>
    <w:link w:val="Style_17"/>
    <w:qFormat/>
    <w:rPr>
      <w:rFonts w:ascii="XO Thames" w:hAnsi="XO Thames"/>
      <w:sz w:val="28"/>
    </w:rPr>
  </w:style>
  <w:style w:type="character" w:styleId="Style10">
    <w:name w:val="Верхний колонтитул Знак"/>
    <w:basedOn w:val="DefaultParagraphFont"/>
    <w:link w:val="Style_18"/>
    <w:qFormat/>
    <w:rPr>
      <w:rFonts w:ascii="Times New Roman" w:hAnsi="Times New Roman"/>
      <w:sz w:val="24"/>
    </w:rPr>
  </w:style>
  <w:style w:type="character" w:styleId="Style11">
    <w:name w:val="Верхний и нижний колонтитулы"/>
    <w:link w:val="Style_19"/>
    <w:qFormat/>
    <w:rPr/>
  </w:style>
  <w:style w:type="character" w:styleId="Heading5">
    <w:name w:val="Heading 5"/>
    <w:link w:val="Style_20"/>
    <w:qFormat/>
    <w:rPr>
      <w:rFonts w:ascii="XO Thames" w:hAnsi="XO Thames"/>
      <w:b/>
      <w:sz w:val="22"/>
    </w:rPr>
  </w:style>
  <w:style w:type="character" w:styleId="Heading1">
    <w:name w:val="Heading 1"/>
    <w:link w:val="Style_21"/>
    <w:qFormat/>
    <w:rPr>
      <w:sz w:val="28"/>
    </w:rPr>
  </w:style>
  <w:style w:type="character" w:styleId="Style12">
    <w:name w:val="Интернет-ссылка"/>
    <w:link w:val="Style_27"/>
    <w:rPr>
      <w:color w:val="0000FF"/>
      <w:u w:val="single"/>
    </w:rPr>
  </w:style>
  <w:style w:type="character" w:styleId="Footnote">
    <w:name w:val="Footnote"/>
    <w:link w:val="Style_23"/>
    <w:qFormat/>
    <w:rPr>
      <w:rFonts w:ascii="XO Thames" w:hAnsi="XO Thames"/>
      <w:sz w:val="22"/>
    </w:rPr>
  </w:style>
  <w:style w:type="character" w:styleId="Contents1">
    <w:name w:val="Contents 1"/>
    <w:link w:val="Style_24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5"/>
    <w:qFormat/>
    <w:rPr>
      <w:rFonts w:ascii="XO Thames" w:hAnsi="XO Thames"/>
      <w:sz w:val="20"/>
    </w:rPr>
  </w:style>
  <w:style w:type="character" w:styleId="Contents9">
    <w:name w:val="Contents 9"/>
    <w:link w:val="Style_26"/>
    <w:qFormat/>
    <w:rPr>
      <w:rFonts w:ascii="XO Thames" w:hAnsi="XO Thames"/>
      <w:sz w:val="28"/>
    </w:rPr>
  </w:style>
  <w:style w:type="character" w:styleId="Contents8">
    <w:name w:val="Contents 8"/>
    <w:link w:val="Style_28"/>
    <w:qFormat/>
    <w:rPr>
      <w:rFonts w:ascii="XO Thames" w:hAnsi="XO Thames"/>
      <w:sz w:val="28"/>
    </w:rPr>
  </w:style>
  <w:style w:type="character" w:styleId="Contents5">
    <w:name w:val="Contents 5"/>
    <w:link w:val="Style_29"/>
    <w:qFormat/>
    <w:rPr>
      <w:rFonts w:ascii="XO Thames" w:hAnsi="XO Thames"/>
      <w:sz w:val="28"/>
    </w:rPr>
  </w:style>
  <w:style w:type="character" w:styleId="Style13">
    <w:name w:val="Указатель"/>
    <w:link w:val="Style_30"/>
    <w:qFormat/>
    <w:rPr>
      <w:rFonts w:ascii="PT Astra Serif" w:hAnsi="PT Astra Serif"/>
    </w:rPr>
  </w:style>
  <w:style w:type="character" w:styleId="List">
    <w:name w:val="List"/>
    <w:basedOn w:val="Textbody"/>
    <w:link w:val="Style_31"/>
    <w:qFormat/>
    <w:rPr>
      <w:rFonts w:ascii="PT Astra Serif" w:hAnsi="PT Astra Serif"/>
    </w:rPr>
  </w:style>
  <w:style w:type="character" w:styleId="Subtitle">
    <w:name w:val="Subtitle"/>
    <w:link w:val="Style_32"/>
    <w:qFormat/>
    <w:rPr>
      <w:rFonts w:ascii="XO Thames" w:hAnsi="XO Thames"/>
      <w:i/>
      <w:sz w:val="24"/>
    </w:rPr>
  </w:style>
  <w:style w:type="character" w:styleId="ListParagraph">
    <w:name w:val="List Paragraph"/>
    <w:link w:val="Style_3"/>
    <w:qFormat/>
    <w:rPr>
      <w:sz w:val="20"/>
    </w:rPr>
  </w:style>
  <w:style w:type="character" w:styleId="Title">
    <w:name w:val="Title"/>
    <w:link w:val="Style_33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34"/>
    <w:qFormat/>
    <w:rPr>
      <w:rFonts w:ascii="XO Thames" w:hAnsi="XO Thames"/>
      <w:b/>
      <w:sz w:val="24"/>
    </w:rPr>
  </w:style>
  <w:style w:type="character" w:styleId="Heading2">
    <w:name w:val="Heading 2"/>
    <w:link w:val="Style_35"/>
    <w:qFormat/>
    <w:rPr>
      <w:rFonts w:ascii="XO Thames" w:hAnsi="XO Thames"/>
      <w:b/>
      <w:sz w:val="28"/>
    </w:rPr>
  </w:style>
  <w:style w:type="paragraph" w:styleId="Style14">
    <w:name w:val="Заголовок"/>
    <w:basedOn w:val="Normal"/>
    <w:next w:val="Style15"/>
    <w:link w:val="Style_15_ch"/>
    <w:qFormat/>
    <w:pPr>
      <w:keepNext w:val="true"/>
      <w:spacing w:before="240" w:after="120"/>
    </w:pPr>
    <w:rPr>
      <w:rFonts w:ascii="PT Astra Serif" w:hAnsi="PT Astra Serif"/>
      <w:sz w:val="28"/>
    </w:rPr>
  </w:style>
  <w:style w:type="paragraph" w:styleId="Style15">
    <w:name w:val="Body Text"/>
    <w:basedOn w:val="Normal"/>
    <w:link w:val="Style_12_ch"/>
    <w:pPr>
      <w:spacing w:lineRule="auto" w:line="276" w:before="0" w:after="140"/>
    </w:pPr>
    <w:rPr/>
  </w:style>
  <w:style w:type="paragraph" w:styleId="Style16">
    <w:name w:val="List"/>
    <w:basedOn w:val="Style15"/>
    <w:link w:val="Style_31_ch"/>
    <w:pPr/>
    <w:rPr>
      <w:rFonts w:ascii="PT Astra Serif" w:hAnsi="PT Astra Serif"/>
    </w:rPr>
  </w:style>
  <w:style w:type="paragraph" w:styleId="Style17">
    <w:name w:val="Caption"/>
    <w:basedOn w:val="Normal"/>
    <w:link w:val="Style_14_ch"/>
    <w:qFormat/>
    <w:pPr>
      <w:spacing w:before="120" w:after="120"/>
    </w:pPr>
    <w:rPr>
      <w:rFonts w:ascii="PT Astra Serif" w:hAnsi="PT Astra Serif"/>
      <w:i/>
      <w:sz w:val="24"/>
    </w:rPr>
  </w:style>
  <w:style w:type="paragraph" w:styleId="Style18">
    <w:name w:val="Указатель"/>
    <w:basedOn w:val="Normal"/>
    <w:link w:val="Style_30_ch"/>
    <w:qFormat/>
    <w:pPr/>
    <w:rPr>
      <w:rFonts w:ascii="PT Astra Serif" w:hAnsi="PT Astra Serif"/>
    </w:rPr>
  </w:style>
  <w:style w:type="paragraph" w:styleId="21">
    <w:name w:val="TOC 2"/>
    <w:next w:val="Normal"/>
    <w:link w:val="Style_7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link w:val="Style_8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link w:val="Style_9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"/>
    <w:link w:val="Style_10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7">
    <w:name w:val="TOC 7"/>
    <w:next w:val="Normal"/>
    <w:link w:val="Style_11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9">
    <w:name w:val="Верхний и нижний колонтитулы"/>
    <w:link w:val="Style_25_ch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0">
    <w:name w:val="Header"/>
    <w:basedOn w:val="Normal"/>
    <w:link w:val="Style_1_ch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ConsPlusNormal1">
    <w:name w:val="ConsPlusNormal"/>
    <w:link w:val="Style_5_ch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NormalWeb1">
    <w:name w:val="Normal (Web)"/>
    <w:basedOn w:val="Normal"/>
    <w:link w:val="Style_4_ch"/>
    <w:qFormat/>
    <w:pPr>
      <w:spacing w:beforeAutospacing="1" w:afterAutospacing="1"/>
    </w:pPr>
    <w:rPr/>
  </w:style>
  <w:style w:type="paragraph" w:styleId="DefaultParagraphFont1">
    <w:name w:val="Default Paragraph Font"/>
    <w:link w:val="Style_1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link w:val="Style_17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1">
    <w:name w:val="Верхний колонтитул Знак"/>
    <w:basedOn w:val="DefaultParagraphFont1"/>
    <w:link w:val="Style_18_ch"/>
    <w:qFormat/>
    <w:pPr/>
    <w:rPr>
      <w:rFonts w:ascii="Times New Roman" w:hAnsi="Times New Roman"/>
      <w:sz w:val="24"/>
    </w:rPr>
  </w:style>
  <w:style w:type="paragraph" w:styleId="Internetlink">
    <w:name w:val="Hyperlink"/>
    <w:link w:val="Style_2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23_ch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24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link w:val="Style_26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2">
    <w:name w:val="Интернет-ссылка"/>
    <w:link w:val="Style_2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8">
    <w:name w:val="TOC 8"/>
    <w:next w:val="Normal"/>
    <w:link w:val="Style_28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link w:val="Style_29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3">
    <w:name w:val="Subtitle"/>
    <w:next w:val="Normal"/>
    <w:link w:val="Style_32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link w:val="Style_3_ch"/>
    <w:qFormat/>
    <w:pPr>
      <w:spacing w:before="0" w:after="0"/>
      <w:ind w:left="720" w:right="0" w:hanging="0"/>
      <w:contextualSpacing/>
    </w:pPr>
    <w:rPr>
      <w:sz w:val="20"/>
    </w:rPr>
  </w:style>
  <w:style w:type="paragraph" w:styleId="Style24">
    <w:name w:val="Title"/>
    <w:next w:val="Normal"/>
    <w:link w:val="Style_33_ch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25">
    <w:name w:val="Содержимое врезки"/>
    <w:basedOn w:val="Normal"/>
    <w:qFormat/>
    <w:pPr/>
    <w:rPr/>
  </w:style>
  <w:style w:type="table" w:default="1" w:styleId="Style_6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LibreOffice/7.0.6.2$Linux_X86_64 LibreOffice_project/00$Build-2</Application>
  <AppVersion>15.0000</AppVersion>
  <Pages>8</Pages>
  <Words>1667</Words>
  <Characters>13362</Characters>
  <CharactersWithSpaces>15006</CharactersWithSpaces>
  <Paragraphs>119</Paragraphs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2023-10-03T10:41:00Z</dcterms:created>
  <dc:creator/>
  <dc:description/>
  <dc:language>ru-RU</dc:language>
  <cp:lastModifiedBy/>
  <dcterms:modified xsi:type="dcterms:W3CDTF">2023-10-03T10:57:44Z</dcterms:modified>
  <cp:revision>2</cp:revision>
  <dc:subject/>
  <dc:title>Постановление Правительства РФ от 30.06.2021 N 1093(ред. от 26.11.2021)"О федеральном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наследия"(вместе с "Положением о федеральном государственном контроле (надзоре) за состоянием, содержанием, сохранением, использованием, популяризацией и государственной охраной объектов культурного наследия")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