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20"/>
          <w:tab w:val="left" w:pos="2085" w:leader="none"/>
          <w:tab w:val="right" w:pos="14570" w:leader="none"/>
        </w:tabs>
        <w:jc w:val="right"/>
        <w:rPr>
          <w:sz w:val="28"/>
        </w:rPr>
      </w:pPr>
      <w:r>
        <w:rPr>
          <w:sz w:val="28"/>
        </w:rPr>
        <w:t>ПРОЕКТ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ListParagraph1"/>
        <w:ind w:left="0" w:right="0" w:hanging="0"/>
        <w:jc w:val="center"/>
        <w:rPr>
          <w:sz w:val="28"/>
        </w:rPr>
      </w:pPr>
      <w:r>
        <w:rPr>
          <w:sz w:val="28"/>
        </w:rPr>
        <w:t xml:space="preserve">Программа </w:t>
      </w:r>
    </w:p>
    <w:p>
      <w:pPr>
        <w:pStyle w:val="Normal"/>
        <w:jc w:val="center"/>
        <w:rPr>
          <w:sz w:val="28"/>
        </w:rPr>
      </w:pPr>
      <w:r>
        <w:rPr>
          <w:sz w:val="28"/>
        </w:rPr>
        <w:t>профилактики рисков причинения вреда (ущерба) охраняемым законом ценностям при осуществлении федерального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 на территории Ивановской области на 2024 год</w:t>
      </w:r>
    </w:p>
    <w:p>
      <w:pPr>
        <w:pStyle w:val="NormalWeb1"/>
        <w:spacing w:before="0" w:after="0"/>
        <w:contextualSpacing/>
        <w:jc w:val="both"/>
        <w:rPr>
          <w:sz w:val="28"/>
        </w:rPr>
      </w:pPr>
      <w:r>
        <w:rPr>
          <w:sz w:val="28"/>
        </w:rPr>
      </w:r>
    </w:p>
    <w:p>
      <w:pPr>
        <w:pStyle w:val="NormalWeb1"/>
        <w:tabs>
          <w:tab w:val="clear" w:pos="720"/>
          <w:tab w:val="left" w:pos="709" w:leader="none"/>
        </w:tabs>
        <w:spacing w:before="360" w:after="120"/>
        <w:ind w:left="0" w:right="0" w:firstLine="709"/>
        <w:contextualSpacing/>
        <w:jc w:val="both"/>
        <w:rPr>
          <w:sz w:val="28"/>
        </w:rPr>
      </w:pPr>
      <w:r>
        <w:rPr>
          <w:sz w:val="28"/>
        </w:rPr>
        <w:t>Программа профилактики рисков причинения вреда (ущерба) охраняемым законом ценностям при осуществлении федерального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 на территории Ивановской области на 2024 год (далее – Программа) разработана во исполнение статьи 44 Федерального закона от 31.07.2020 № 248-ФЗ «О государственном контроле (надзоре) и муниципальном контроле в Российской Федерации» 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утвержденных постановлением Правительства Российской Федерации от 25.06.2021 № 990.</w:t>
      </w:r>
    </w:p>
    <w:p>
      <w:pPr>
        <w:pStyle w:val="NormalWeb1"/>
        <w:spacing w:before="0" w:after="0"/>
        <w:ind w:left="0" w:right="0" w:firstLine="709"/>
        <w:contextualSpacing/>
        <w:jc w:val="both"/>
        <w:rPr>
          <w:sz w:val="28"/>
        </w:rPr>
      </w:pPr>
      <w:r>
        <w:rPr>
          <w:sz w:val="28"/>
        </w:rPr>
        <w:t xml:space="preserve">Программа представляет собой взаимосвязанный по целям, задачам, ресурсам и срокам осуществления комплекс профилактических мероприятий, обеспечивающих эффективное решение проблем, препятствующих соблюдению подконтрольными субъектами обязательных требований, направленных на выявление и устранение конкретных причин и факторов несоблюдения обязательных требований, а также на создание и развитие системы профилактики. </w:t>
      </w:r>
    </w:p>
    <w:p>
      <w:pPr>
        <w:pStyle w:val="NormalWeb1"/>
        <w:tabs>
          <w:tab w:val="clear" w:pos="720"/>
          <w:tab w:val="left" w:pos="709" w:leader="none"/>
        </w:tabs>
        <w:spacing w:before="360" w:after="120"/>
        <w:ind w:left="0" w:right="0" w:firstLine="709"/>
        <w:contextualSpacing/>
        <w:jc w:val="both"/>
        <w:rPr>
          <w:sz w:val="28"/>
        </w:rPr>
      </w:pPr>
      <w:r>
        <w:rPr>
          <w:sz w:val="28"/>
        </w:rPr>
      </w:r>
    </w:p>
    <w:p>
      <w:pPr>
        <w:pStyle w:val="NormalWeb1"/>
        <w:spacing w:before="360" w:after="120"/>
        <w:contextualSpacing/>
        <w:jc w:val="center"/>
        <w:rPr>
          <w:sz w:val="28"/>
        </w:rPr>
      </w:pPr>
      <w:r>
        <w:rPr>
          <w:sz w:val="28"/>
        </w:rPr>
        <w:t>Раздел 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>
      <w:pPr>
        <w:pStyle w:val="NormalWeb1"/>
        <w:spacing w:before="0" w:after="0"/>
        <w:contextualSpacing/>
        <w:jc w:val="both"/>
        <w:rPr>
          <w:sz w:val="28"/>
        </w:rPr>
      </w:pPr>
      <w:r>
        <w:rPr>
          <w:sz w:val="28"/>
        </w:rPr>
      </w:r>
    </w:p>
    <w:p>
      <w:pPr>
        <w:pStyle w:val="Normal"/>
        <w:ind w:left="0" w:right="0" w:firstLine="709"/>
        <w:jc w:val="both"/>
        <w:rPr>
          <w:sz w:val="28"/>
        </w:rPr>
      </w:pPr>
      <w:r>
        <w:rPr>
          <w:sz w:val="28"/>
        </w:rPr>
        <w:t>В соответствии со статьей 11 Федерального закона «Об объектах культурного наследия (памятниках истории и культуры) народов Российской Федерации» (далее – Закон № 73-ФЗ), Положением о комитете Ивановской области по государственной охране объектов культурного наследия, утвержденным постановлением Правительства Ивановской области от 24.12.2015 № 594-п, комитет Ивановской области по государственной охране объектов культурного наследия (далее − Комитет) осуществляет федеральный государственный контроль (надзор) за состоянием, содержанием, сохранением, использованием, популяризацией и государственной охраной объектов культурного наследия на территории Ивановской области.</w:t>
      </w:r>
    </w:p>
    <w:p>
      <w:pPr>
        <w:pStyle w:val="ConsPlusNormal1"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2023 году федеральный государственный контроль (надзор) за состоянием, содержанием, сохранением, использованием, популяризацией и государственной охраной объектов культурного наследия на территории Ивановской области осуществлялся в соответствии с Федеральным законом от 31.07.2020 № 248-ФЗ «О государственном контроле (надзоре) и муниципальном контроле в Российской Федерации» и с учетом постановления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контроля».</w:t>
      </w:r>
    </w:p>
    <w:p>
      <w:pPr>
        <w:pStyle w:val="ConsPlusNormal1"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2023 году не проводились плановые проверки, т.к. не предусмотрены действующим законодательством в указанной сфере, протоколы об административных правонарушениях не составлялись.</w:t>
      </w:r>
    </w:p>
    <w:p>
      <w:pPr>
        <w:pStyle w:val="ConsPlusNormal1"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контрольные (надзорные) мероприятия проведены на основании программ проверок, либо без взаимодействия с контролируемыми лицами.</w:t>
      </w:r>
    </w:p>
    <w:p>
      <w:pPr>
        <w:pStyle w:val="ConsPlusNormal1"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период с 01.01.2023 по 30.09.2023 были приняты 18 программ проверок, проведено 9 мероприятий без взаимодействия (5 в формате выездного обследования, 4 в формате наблюдения за соблюдением обязательных требований).</w:t>
      </w:r>
    </w:p>
    <w:p>
      <w:pPr>
        <w:pStyle w:val="ConsPlusNormal1"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рамках текущей деятельности выдано 11 предостережений о недопустимости нарушения обязательных требований.</w:t>
      </w:r>
    </w:p>
    <w:p>
      <w:pPr>
        <w:pStyle w:val="Normal"/>
        <w:widowControl w:val="false"/>
        <w:spacing w:before="0" w:after="0"/>
        <w:ind w:left="0" w:right="0" w:firstLine="709"/>
        <w:contextualSpacing/>
        <w:jc w:val="both"/>
        <w:rPr>
          <w:sz w:val="28"/>
        </w:rPr>
      </w:pPr>
      <w:r>
        <w:rPr>
          <w:sz w:val="28"/>
        </w:rPr>
        <w:t>В целях профилактики нарушений обязательных требований Комитетом: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20"/>
          <w:tab w:val="left" w:pos="1134" w:leader="none"/>
        </w:tabs>
        <w:spacing w:before="0" w:after="0"/>
        <w:ind w:left="0" w:right="0" w:firstLine="709"/>
        <w:contextualSpacing/>
        <w:jc w:val="both"/>
        <w:rPr>
          <w:sz w:val="28"/>
        </w:rPr>
      </w:pPr>
      <w:r>
        <w:rPr>
          <w:sz w:val="28"/>
        </w:rPr>
        <w:t>размещены на официальном сайте надзорного органа Перечни актов, содержащих обязательные требования, соблюдение которых оценивается при осуществлении соответствующего вида надзора;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20"/>
          <w:tab w:val="left" w:pos="1134" w:leader="none"/>
        </w:tabs>
        <w:spacing w:before="0" w:after="0"/>
        <w:ind w:left="0" w:right="0" w:firstLine="709"/>
        <w:contextualSpacing/>
        <w:jc w:val="both"/>
        <w:rPr>
          <w:sz w:val="28"/>
        </w:rPr>
      </w:pPr>
      <w:r>
        <w:rPr>
          <w:sz w:val="28"/>
        </w:rPr>
        <w:t xml:space="preserve">в рамках проводимых надзорных мероприятий должностными лицами комитета </w:t>
      </w:r>
      <w:r>
        <w:rPr>
          <w:color w:val="000000"/>
          <w:sz w:val="28"/>
        </w:rPr>
        <w:t>Ивановской области по государственной охране объектов культурного наследия</w:t>
      </w:r>
      <w:r>
        <w:rPr>
          <w:sz w:val="28"/>
        </w:rPr>
        <w:t xml:space="preserve"> юридическим лицам и индивидуальным предпринимателям оказывается методическая помощь, даются консультации, разъясняются требования законодательства.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20"/>
          <w:tab w:val="left" w:pos="1134" w:leader="none"/>
        </w:tabs>
        <w:spacing w:before="0" w:after="0"/>
        <w:ind w:left="0" w:right="0" w:firstLine="709"/>
        <w:contextualSpacing/>
        <w:jc w:val="both"/>
        <w:rPr>
          <w:sz w:val="28"/>
        </w:rPr>
      </w:pPr>
      <w:r>
        <w:rPr>
          <w:sz w:val="28"/>
        </w:rPr>
        <w:t>обеспечено обобщение практики осуществления в соответствующей сфере деятельности государственного контроля (надзора) и размещение на официальных сайтах в сети «Интернет» соответствующих обобщений, в том числе с указанием наиболее часто встречающихся случаев нарушений обязательных требований, требований, установленных муниципальными правовыми актами,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20"/>
          <w:tab w:val="left" w:pos="1134" w:leader="none"/>
        </w:tabs>
        <w:spacing w:before="0" w:after="0"/>
        <w:ind w:left="0" w:right="0" w:firstLine="709"/>
        <w:contextualSpacing/>
        <w:jc w:val="both"/>
        <w:rPr>
          <w:sz w:val="28"/>
        </w:rPr>
      </w:pPr>
      <w:r>
        <w:rPr>
          <w:sz w:val="28"/>
        </w:rPr>
        <w:t>организована выдача предостережений о недопустимости нарушения требований, установленных Федеральным законом от 25.06.2002 № 73-ФЗ «Об объектах культурного наследия (памятниках истории и культуры) народов Российской Федерации»,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>
      <w:pPr>
        <w:pStyle w:val="ConsPlusNormal1"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результате реализации программы ожидается повышение уровня информированности подконтрольных субъектов по вопросам соблюдения обязательных требований, повышение правовой грамотности подконтрольных субъектов, формирование ответственного отношения к проблемам сохранения объектов культурного наследия и выработка внутренней мотивации к позитивному правовому поведению, что в результате должно привести к снижению количества нарушений обязательных требований и минимизации угрозы причинения вреда охраняемым законом ценностям.</w:t>
      </w:r>
    </w:p>
    <w:p>
      <w:pPr>
        <w:pStyle w:val="ConsPlusNormal1"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Типичными нарушениями обязательных требований законодательства Российской Федерации в области охраны объектов культурного наследия являются:</w:t>
      </w:r>
    </w:p>
    <w:p>
      <w:pPr>
        <w:pStyle w:val="ConsPlusNormal1"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не проведение собственником (пользователем) объекта культурного наследия работ по сохранению объекта культурного наследия при наличии необходимости проведения таких работ;</w:t>
      </w:r>
    </w:p>
    <w:p>
      <w:pPr>
        <w:pStyle w:val="ConsPlusNormal1"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несвоевременное извещение органа охраны объектов культурного наследия собственником (пользователем) объекта культурного наследия органа охраны объектов культурного наследия о повреждениях, авариях (иных обстоятельствах), причинивших вред объекту культурного наследия, и непринятие мер по предотвращению дальнейшего разрушения (повреждения) такого объекта;</w:t>
      </w:r>
    </w:p>
    <w:p>
      <w:pPr>
        <w:pStyle w:val="ConsPlusNormal1"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проведение работ, изменяющих предмет охраны объекта культурного наследия либо ухудшающих условия, необходимые для сохранности объекта культурного наследия (размещение кондиционеров, вывесок и пр.);</w:t>
      </w:r>
    </w:p>
    <w:p>
      <w:pPr>
        <w:pStyle w:val="ConsPlusNormal1"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проведение работ по сохранению объекта культурного наследия без разрешения и согласования органа охраны объектов культурного наследия;</w:t>
      </w:r>
    </w:p>
    <w:p>
      <w:pPr>
        <w:pStyle w:val="ConsPlusNormal1"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проведение строительных и иных работ вблизи объекта культурного наследия в отсутствие в проектной документации разделов, предусматривающих мероприятия по обеспечению сохранности объектов культурного наследия, согласованных органами охраны объектов культурного наследия.</w:t>
      </w:r>
    </w:p>
    <w:p>
      <w:pPr>
        <w:pStyle w:val="Normal"/>
        <w:ind w:left="0" w:right="0" w:firstLine="709"/>
        <w:jc w:val="both"/>
        <w:rPr>
          <w:sz w:val="28"/>
        </w:rPr>
      </w:pPr>
      <w:r>
        <w:rPr>
          <w:sz w:val="28"/>
        </w:rPr>
        <w:t>Ключевым риском при реализации Программы является различное толкование содержания обязательных требований подконтрольными субъектами, что может привести к нарушению ими обязательных требований законодательства в области охраны объектов культурного наследия.</w:t>
      </w:r>
    </w:p>
    <w:p>
      <w:pPr>
        <w:pStyle w:val="Normal"/>
        <w:ind w:left="0" w:right="0" w:firstLine="709"/>
        <w:jc w:val="both"/>
        <w:rPr>
          <w:sz w:val="28"/>
        </w:rPr>
      </w:pPr>
      <w:r>
        <w:rPr>
          <w:sz w:val="28"/>
        </w:rPr>
        <w:t xml:space="preserve">Комитетом в рамках организованной профилактической работы в 2023 году проводились консультации по вопросам касающихся объектов культурного наследия, по телефону, по средством электронной почты. </w:t>
      </w:r>
    </w:p>
    <w:p>
      <w:pPr>
        <w:pStyle w:val="Normal"/>
        <w:ind w:left="0" w:right="0" w:firstLine="709"/>
        <w:jc w:val="both"/>
        <w:rPr>
          <w:sz w:val="28"/>
        </w:rPr>
      </w:pPr>
      <w:r>
        <w:rPr>
          <w:sz w:val="28"/>
        </w:rPr>
        <w:t>Профилактическая работа осуществлялась Комитетом в течение всего 2023 года.</w:t>
      </w:r>
    </w:p>
    <w:p>
      <w:pPr>
        <w:pStyle w:val="Normal"/>
        <w:ind w:left="0" w:right="0" w:firstLine="709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  <w:t xml:space="preserve">Раздел 2. Цели и задачи реализации Программы </w:t>
      </w:r>
    </w:p>
    <w:p>
      <w:pPr>
        <w:pStyle w:val="NormalWeb1"/>
        <w:spacing w:before="120" w:after="120"/>
        <w:contextualSpacing/>
        <w:jc w:val="center"/>
        <w:rPr>
          <w:sz w:val="28"/>
        </w:rPr>
      </w:pPr>
      <w:r>
        <w:rPr>
          <w:sz w:val="28"/>
        </w:rPr>
      </w:r>
    </w:p>
    <w:p>
      <w:pPr>
        <w:pStyle w:val="NormalWeb1"/>
        <w:spacing w:before="120" w:after="0"/>
        <w:ind w:left="0" w:right="0" w:firstLine="709"/>
        <w:contextualSpacing/>
        <w:jc w:val="both"/>
        <w:rPr>
          <w:sz w:val="28"/>
        </w:rPr>
      </w:pPr>
      <w:r>
        <w:rPr>
          <w:sz w:val="28"/>
        </w:rPr>
        <w:t>Профилактическая работа в Комитете представляет собой системно организованную деятельность по комплексной реализации мер организационного, информационного, правового и иного характера, направленных на достижение следующих основных целей:</w:t>
      </w:r>
    </w:p>
    <w:p>
      <w:pPr>
        <w:pStyle w:val="ConsPlusNormal1"/>
        <w:ind w:left="0"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предупреждение нарушений подконтрольными субъектами обязательных требований (снижение числа нарушений обязательных требований);</w:t>
      </w:r>
    </w:p>
    <w:p>
      <w:pPr>
        <w:pStyle w:val="ConsPlusNormal1"/>
        <w:ind w:left="0"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предотвращение причинения вреда либо угрозы причинения вреда охраняемым законом ценностям вследствие нарушений обязательных требований;</w:t>
      </w:r>
    </w:p>
    <w:p>
      <w:pPr>
        <w:pStyle w:val="ConsPlusNormal1"/>
        <w:ind w:left="0"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повышение прозрачности деятельности Комитета при осуществлении регионального государственного контроля (надзора) за состоянием,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содержанием, сохранением, использованием, популяризацией и государственной охраной объектов культурного наследия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</w:rPr>
        <w:t>регионального значения, объектов культурного наследия местного (муниципального) значения, выявленных объектов культурного наследия;</w:t>
      </w:r>
    </w:p>
    <w:p>
      <w:pPr>
        <w:pStyle w:val="ConsPlusNormal1"/>
        <w:ind w:left="0"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формирование моделей социально ответственного, добросовестного, правового поведения подконтрольных субъектов.</w:t>
      </w:r>
    </w:p>
    <w:p>
      <w:pPr>
        <w:pStyle w:val="ConsPlusNormal1"/>
        <w:ind w:left="0"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достижения поставленных целей настоящей программы необходимо решение следующих задач:</w:t>
      </w:r>
    </w:p>
    <w:p>
      <w:pPr>
        <w:pStyle w:val="ConsPlusNormal1"/>
        <w:ind w:left="0"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выявление причин, факторов и условий, способствующих возможному нарушению обязательных требований;</w:t>
      </w:r>
    </w:p>
    <w:p>
      <w:pPr>
        <w:pStyle w:val="ConsPlusNormal1"/>
        <w:ind w:left="0"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устранение причин, факторов и условий, способствующих возможному нарушению обязательных требований;</w:t>
      </w:r>
    </w:p>
    <w:p>
      <w:pPr>
        <w:pStyle w:val="ConsPlusNormal1"/>
        <w:ind w:left="0"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 повышение уровня правовой грамотности подконтрольных субъектов;</w:t>
      </w:r>
    </w:p>
    <w:p>
      <w:pPr>
        <w:pStyle w:val="ConsPlusNormal1"/>
        <w:ind w:left="0"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формирование единого понимания обязательных требований у всех участников отношений в области регионального государственного надзора, в том числе путем разъяснения подконтрольным субъектам обязательных требований;</w:t>
      </w:r>
    </w:p>
    <w:p>
      <w:pPr>
        <w:pStyle w:val="ConsPlusNormal1"/>
        <w:ind w:left="0"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мотивация подконтрольных субъектов к добросовестному поведению и, как следствие, снижение вреда, причиняемого охраняемым законом ценностям;</w:t>
      </w:r>
    </w:p>
    <w:p>
      <w:pPr>
        <w:pStyle w:val="ConsPlusNormal1"/>
        <w:ind w:left="0"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оценка состояния подконтрольной среды и особенностей подконтрольных субъектов (объектов);</w:t>
      </w:r>
    </w:p>
    <w:p>
      <w:pPr>
        <w:pStyle w:val="ConsPlusNormal1"/>
        <w:ind w:left="0"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профилактических мероприятий с учетом данных состояния подконтрольной среды и особенностей конкретных подконтрольных субъектов (объектов);</w:t>
      </w:r>
    </w:p>
    <w:p>
      <w:pPr>
        <w:pStyle w:val="ConsPlusNormal1"/>
        <w:ind w:left="0"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сбор и анализ статистических данных, необходимых для организации профилактической работы, в том числе для определения видов, форм и интенсивности профилактических мероприятий;</w:t>
      </w:r>
    </w:p>
    <w:p>
      <w:pPr>
        <w:pStyle w:val="ConsPlusNormal1"/>
        <w:ind w:left="0"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повышение квалификации сотрудников Комитета, уполномоченных на осуществление регионального государственного надзора;</w:t>
      </w:r>
    </w:p>
    <w:p>
      <w:pPr>
        <w:pStyle w:val="ConsPlusNormal1"/>
        <w:ind w:left="0"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создание системы взаимодействия между подконтрольными субъектами и Комитетом, обеспечивающей наиболее полное информирование подконтрольных субъектов по вопросам соблюдения обязательных требований и проводимой Комитетом профилактической работы, в том числе с использованием современных информационно-телекоммуникационных технологий.</w:t>
      </w:r>
    </w:p>
    <w:p>
      <w:pPr>
        <w:pStyle w:val="ConsPlusNormal1"/>
        <w:ind w:left="0"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Web1"/>
        <w:spacing w:before="120" w:after="0"/>
        <w:contextualSpacing/>
        <w:jc w:val="center"/>
        <w:rPr>
          <w:sz w:val="28"/>
        </w:rPr>
      </w:pPr>
      <w:r>
        <w:rPr>
          <w:sz w:val="28"/>
        </w:rPr>
        <w:t xml:space="preserve">Раздел 3. Перечень профилактических мероприятий, сроки </w:t>
      </w:r>
    </w:p>
    <w:p>
      <w:pPr>
        <w:pStyle w:val="NormalWeb1"/>
        <w:spacing w:before="120" w:after="0"/>
        <w:contextualSpacing/>
        <w:jc w:val="center"/>
        <w:rPr>
          <w:sz w:val="28"/>
        </w:rPr>
      </w:pPr>
      <w:r>
        <w:rPr>
          <w:sz w:val="28"/>
        </w:rPr>
        <w:t>и периодичность их проведения</w:t>
      </w:r>
    </w:p>
    <w:p>
      <w:pPr>
        <w:pStyle w:val="NormalWeb1"/>
        <w:spacing w:before="120" w:after="0"/>
        <w:contextualSpacing/>
        <w:jc w:val="center"/>
        <w:rPr>
          <w:sz w:val="28"/>
        </w:rPr>
      </w:pPr>
      <w:r>
        <w:rPr>
          <w:sz w:val="28"/>
        </w:rPr>
      </w:r>
    </w:p>
    <w:tbl>
      <w:tblPr>
        <w:tblStyle w:val="Style_6"/>
        <w:tblW w:w="96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3038"/>
        <w:gridCol w:w="3698"/>
        <w:gridCol w:w="2319"/>
      </w:tblGrid>
      <w:tr>
        <w:trPr>
          <w:trHeight w:val="776" w:hRule="atLeast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/>
              <w:ind w:left="0" w:right="0" w:hanging="0"/>
              <w:jc w:val="center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 xml:space="preserve">№ </w:t>
            </w:r>
            <w:r>
              <w:rPr>
                <w:spacing w:val="0"/>
                <w:kern w:val="0"/>
                <w:sz w:val="28"/>
                <w:szCs w:val="20"/>
              </w:rPr>
              <w:t>п/п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/>
              <w:ind w:left="0" w:right="0" w:hanging="0"/>
              <w:jc w:val="center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Наименование мероприятия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/>
              <w:ind w:left="0" w:right="0" w:hanging="0"/>
              <w:jc w:val="center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Срок выполнения мероприятия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/>
              <w:ind w:left="0" w:right="0" w:hanging="0"/>
              <w:jc w:val="center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Ответственный</w:t>
            </w:r>
          </w:p>
          <w:p>
            <w:pPr>
              <w:pStyle w:val="Normal"/>
              <w:widowControl w:val="false"/>
              <w:suppressAutoHyphens w:val="true"/>
              <w:spacing w:lineRule="auto" w:line="276"/>
              <w:ind w:left="0" w:right="0" w:hanging="0"/>
              <w:jc w:val="center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за исполнение</w:t>
            </w:r>
          </w:p>
        </w:tc>
      </w:tr>
      <w:tr>
        <w:trPr>
          <w:trHeight w:val="1693" w:hRule="atLeast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1"/>
              <w:widowControl w:val="false"/>
              <w:numPr>
                <w:ilvl w:val="0"/>
                <w:numId w:val="2"/>
              </w:numPr>
              <w:suppressAutoHyphens w:val="true"/>
              <w:spacing w:lineRule="auto" w:line="276" w:before="60" w:after="0"/>
              <w:ind w:left="0" w:right="0" w:hanging="0"/>
              <w:contextualSpacing/>
              <w:jc w:val="both"/>
              <w:rPr>
                <w:sz w:val="28"/>
              </w:rPr>
            </w:pPr>
            <w:r>
              <w:rPr>
                <w:rFonts w:eastAsia="Tahoma" w:cs="Noto Sans Devanagari" w:ascii="Calibri" w:hAnsi="Calibri"/>
                <w:color w:val="000000"/>
                <w:kern w:val="0"/>
                <w:sz w:val="28"/>
                <w:szCs w:val="20"/>
                <w:lang w:val="ru-RU" w:eastAsia="zh-CN" w:bidi="hi-IN"/>
              </w:rPr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both"/>
              <w:rPr>
                <w:spacing w:val="-6"/>
                <w:sz w:val="28"/>
              </w:rPr>
            </w:pPr>
            <w:r>
              <w:rPr>
                <w:spacing w:val="-6"/>
                <w:kern w:val="0"/>
                <w:sz w:val="28"/>
                <w:szCs w:val="20"/>
              </w:rPr>
              <w:t>Информирование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ind w:left="0" w:right="0" w:hanging="0"/>
              <w:jc w:val="center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в течение 10 дней с момента принятия нормативных правовых актов, программ, перечней, руководств и иных сведений или внесения в них изменений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Tahoma" w:cs="Noto Sans Devanagari" w:ascii="Times New Roman" w:hAnsi="Times New Roman"/>
                <w:spacing w:val="0"/>
                <w:kern w:val="0"/>
                <w:sz w:val="28"/>
                <w:szCs w:val="20"/>
                <w:lang w:val="ru-RU" w:eastAsia="zh-CN" w:bidi="hi-IN"/>
              </w:rPr>
              <w:t>Отдел государственного надзора и учета объектов культурного наследия Комитета Ивановской области по государственной охране объектов культурного наследия</w:t>
            </w:r>
          </w:p>
          <w:p>
            <w:pPr>
              <w:pStyle w:val="ConsPlusNormal1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sz w:val="28"/>
              </w:rPr>
            </w:pPr>
            <w:r>
              <w:rPr>
                <w:rFonts w:eastAsia="Tahoma" w:cs="Noto Sans Devanagari" w:ascii="Times New Roman" w:hAnsi="Times New Roman"/>
                <w:spacing w:val="0"/>
                <w:kern w:val="0"/>
                <w:sz w:val="28"/>
                <w:szCs w:val="20"/>
                <w:lang w:val="ru-RU" w:eastAsia="zh-CN" w:bidi="hi-IN"/>
              </w:rPr>
              <w:t>(далее – Отдел)</w:t>
            </w:r>
          </w:p>
        </w:tc>
      </w:tr>
      <w:tr>
        <w:trPr/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1"/>
              <w:widowControl w:val="false"/>
              <w:numPr>
                <w:ilvl w:val="0"/>
                <w:numId w:val="2"/>
              </w:numPr>
              <w:suppressAutoHyphens w:val="true"/>
              <w:spacing w:lineRule="auto" w:line="276" w:before="60" w:after="0"/>
              <w:ind w:left="0" w:right="0" w:hanging="0"/>
              <w:contextualSpacing/>
              <w:jc w:val="both"/>
              <w:rPr>
                <w:sz w:val="28"/>
              </w:rPr>
            </w:pPr>
            <w:r>
              <w:rPr>
                <w:rFonts w:eastAsia="Tahoma" w:cs="Noto Sans Devanagari" w:ascii="Calibri" w:hAnsi="Calibri"/>
                <w:color w:val="000000"/>
                <w:kern w:val="0"/>
                <w:sz w:val="28"/>
                <w:szCs w:val="20"/>
                <w:lang w:val="ru-RU" w:eastAsia="zh-CN" w:bidi="hi-IN"/>
              </w:rPr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both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Обобщение правоприменительной практики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center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не позднее 1 февраля года, следующего за отчетным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left="0" w:right="0" w:hanging="0"/>
              <w:contextualSpacing/>
              <w:jc w:val="center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Отдел</w:t>
            </w:r>
          </w:p>
        </w:tc>
      </w:tr>
      <w:tr>
        <w:trPr/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1"/>
              <w:widowControl w:val="false"/>
              <w:numPr>
                <w:ilvl w:val="0"/>
                <w:numId w:val="2"/>
              </w:numPr>
              <w:suppressAutoHyphens w:val="true"/>
              <w:spacing w:lineRule="auto" w:line="276" w:before="60" w:after="0"/>
              <w:ind w:left="0" w:right="0" w:hanging="0"/>
              <w:contextualSpacing/>
              <w:jc w:val="both"/>
              <w:rPr>
                <w:sz w:val="28"/>
              </w:rPr>
            </w:pPr>
            <w:r>
              <w:rPr>
                <w:rFonts w:eastAsia="Tahoma" w:cs="Noto Sans Devanagari" w:ascii="Calibri" w:hAnsi="Calibri"/>
                <w:color w:val="000000"/>
                <w:kern w:val="0"/>
                <w:sz w:val="28"/>
                <w:szCs w:val="20"/>
                <w:lang w:val="ru-RU" w:eastAsia="zh-CN" w:bidi="hi-IN"/>
              </w:rPr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both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Объявление предостережения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center"/>
              <w:rPr>
                <w:sz w:val="28"/>
              </w:rPr>
            </w:pPr>
            <w:r>
              <w:rPr>
                <w:spacing w:val="-2"/>
                <w:kern w:val="0"/>
                <w:sz w:val="28"/>
                <w:szCs w:val="20"/>
              </w:rPr>
              <w:t>не позднее 30 дней со дня получения сведений, указанных в пункте 1 статьи 49 Федерального закона от 31.07.2020 № 248-ФЗ «О государственном контроле (надзоре) и муниципальном контроле в Российской Федерации»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left="0" w:right="0" w:hanging="0"/>
              <w:contextualSpacing/>
              <w:jc w:val="center"/>
              <w:rPr>
                <w:color w:val="FF0000"/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Отдел</w:t>
            </w:r>
          </w:p>
        </w:tc>
      </w:tr>
      <w:tr>
        <w:trPr/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1"/>
              <w:widowControl w:val="false"/>
              <w:numPr>
                <w:ilvl w:val="0"/>
                <w:numId w:val="2"/>
              </w:numPr>
              <w:suppressAutoHyphens w:val="true"/>
              <w:spacing w:lineRule="auto" w:line="276" w:before="60" w:after="0"/>
              <w:ind w:left="0" w:right="0" w:hanging="0"/>
              <w:contextualSpacing/>
              <w:jc w:val="both"/>
              <w:rPr>
                <w:sz w:val="28"/>
              </w:rPr>
            </w:pPr>
            <w:r>
              <w:rPr>
                <w:rFonts w:eastAsia="Tahoma" w:cs="Noto Sans Devanagari" w:ascii="Calibri" w:hAnsi="Calibri"/>
                <w:color w:val="000000"/>
                <w:kern w:val="0"/>
                <w:sz w:val="28"/>
                <w:szCs w:val="20"/>
                <w:lang w:val="ru-RU" w:eastAsia="zh-CN" w:bidi="hi-IN"/>
              </w:rPr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both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Консультирование: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both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- по телефону;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both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- посредством видео-конференц-связи;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both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- на личном приеме;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both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- в ходе проведения профилактического мероприятия, контрольного мероприятия.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both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Консультирование осуществляется по следующим вопросам: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316" w:leader="none"/>
              </w:tabs>
              <w:suppressAutoHyphens w:val="true"/>
              <w:spacing w:before="60" w:after="60"/>
              <w:ind w:left="0" w:right="0" w:hanging="0"/>
              <w:contextualSpacing/>
              <w:jc w:val="both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о порядке исполнения обязательных требований;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316" w:leader="none"/>
              </w:tabs>
              <w:suppressAutoHyphens w:val="true"/>
              <w:spacing w:before="60" w:after="60"/>
              <w:ind w:left="0" w:right="0" w:hanging="0"/>
              <w:contextualSpacing/>
              <w:jc w:val="both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о порядке исполнения выданного Комитетом предписания, объявленного Комитетом предостережения;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16" w:leader="none"/>
              </w:tabs>
              <w:suppressAutoHyphens w:val="true"/>
              <w:spacing w:before="60" w:after="60"/>
              <w:ind w:left="0" w:right="0" w:hanging="0"/>
              <w:contextualSpacing/>
              <w:jc w:val="both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3)</w:t>
              <w:tab/>
              <w:t>по вопросам, связанным с организацией и осуществлением регионального государственного контроля (надзора) в отношении объекта контроля, собственником или иным законным владельцем которого является контролируемое лицо, обратившееся за консультированием.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both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Консультирование по вопросу порядка исполнения выданного Комитетом предписания, объявленного Комитетом предостережения осуществляется в письменном виде.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left="0" w:right="0" w:hanging="0"/>
              <w:contextualSpacing/>
              <w:jc w:val="center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ежедневно,</w:t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ind w:left="0" w:right="0" w:hanging="0"/>
              <w:contextualSpacing/>
              <w:jc w:val="center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кроме выходных и праздничных дней</w:t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ind w:left="0" w:right="0" w:hanging="0"/>
              <w:contextualSpacing/>
              <w:jc w:val="center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с 09:00 до 18:00</w:t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ind w:left="0" w:right="0" w:hanging="0"/>
              <w:contextualSpacing/>
              <w:jc w:val="center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(в пятницу – с 09:00 до 16:45),</w:t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ind w:left="0" w:right="0" w:hanging="0"/>
              <w:contextualSpacing/>
              <w:jc w:val="center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перерыв с 13:00 до 13:45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Tahoma" w:cs="Noto Sans Devanagari" w:ascii="Times New Roman" w:hAnsi="Times New Roman"/>
                <w:spacing w:val="0"/>
                <w:kern w:val="0"/>
                <w:sz w:val="28"/>
                <w:szCs w:val="20"/>
                <w:lang w:val="ru-RU" w:eastAsia="zh-CN" w:bidi="hi-IN"/>
              </w:rPr>
              <w:t>Отдел</w:t>
            </w:r>
          </w:p>
        </w:tc>
      </w:tr>
      <w:tr>
        <w:trPr/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1"/>
              <w:widowControl w:val="false"/>
              <w:numPr>
                <w:ilvl w:val="0"/>
                <w:numId w:val="2"/>
              </w:numPr>
              <w:suppressAutoHyphens w:val="true"/>
              <w:spacing w:lineRule="auto" w:line="276" w:before="60" w:after="0"/>
              <w:ind w:left="0" w:right="0" w:hanging="0"/>
              <w:contextualSpacing/>
              <w:jc w:val="both"/>
              <w:rPr>
                <w:sz w:val="28"/>
              </w:rPr>
            </w:pPr>
            <w:r>
              <w:rPr>
                <w:rFonts w:eastAsia="Tahoma" w:cs="Noto Sans Devanagari" w:ascii="Calibri" w:hAnsi="Calibri"/>
                <w:color w:val="000000"/>
                <w:kern w:val="0"/>
                <w:sz w:val="28"/>
                <w:szCs w:val="20"/>
                <w:lang w:val="ru-RU" w:eastAsia="zh-CN" w:bidi="hi-IN"/>
              </w:rPr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both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Профилактический визит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left="0" w:right="0" w:hanging="0"/>
              <w:contextualSpacing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 xml:space="preserve">IV квартал (мероприятие проводится при наличии оснований, предусмотренных Федеральным законом                       от 31.07.2020 № 248-ФЗ            «О государственном контроле (надзоре) и муниципальном контроле             </w:t>
            </w:r>
            <w:r>
              <w:rPr>
                <w:rFonts w:ascii="Tinos" w:hAnsi="Tinos"/>
                <w:b w:val="false"/>
                <w:bCs w:val="false"/>
                <w:color w:val="000000"/>
                <w:spacing w:val="0"/>
                <w:kern w:val="0"/>
                <w:sz w:val="28"/>
                <w:szCs w:val="28"/>
              </w:rPr>
              <w:t xml:space="preserve">в Российской Федерации»          </w:t>
            </w:r>
            <w:r>
              <w:rPr>
                <w:rFonts w:ascii="Tinos" w:hAnsi="Tinos"/>
                <w:b w:val="false"/>
                <w:bCs w:val="false"/>
                <w:color w:val="000000"/>
                <w:spacing w:val="0"/>
                <w:kern w:val="0"/>
                <w:sz w:val="28"/>
                <w:szCs w:val="28"/>
              </w:rPr>
              <w:t xml:space="preserve">и </w:t>
            </w:r>
            <w:r>
              <w:rPr>
                <w:rFonts w:ascii="Tinos" w:hAnsi="Tinos"/>
                <w:b w:val="false"/>
                <w:bCs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>п</w:t>
            </w:r>
            <w:r>
              <w:rPr>
                <w:rFonts w:ascii="Tinos" w:hAnsi="Tinos"/>
                <w:b w:val="false"/>
                <w:bCs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>остановление Правительства Р</w:t>
            </w:r>
            <w:r>
              <w:rPr>
                <w:rFonts w:eastAsia="Tahoma" w:cs="Noto Sans Devanagari" w:ascii="Tinos" w:hAnsi="Tinos"/>
                <w:b w:val="false"/>
                <w:bCs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8"/>
                <w:szCs w:val="28"/>
                <w:u w:val="none"/>
                <w:lang w:val="ru-RU" w:eastAsia="zh-CN" w:bidi="hi-IN"/>
              </w:rPr>
              <w:t>оссийской Федерации</w:t>
            </w:r>
            <w:r>
              <w:rPr>
                <w:rFonts w:ascii="Tinos" w:hAnsi="Tinos"/>
                <w:b w:val="false"/>
                <w:bCs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от 30.06.2021           </w:t>
            </w:r>
            <w:r>
              <w:rPr>
                <w:rFonts w:ascii="Tinos" w:hAnsi="Tinos"/>
                <w:b w:val="false"/>
                <w:bCs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>№</w:t>
            </w:r>
            <w:r>
              <w:rPr>
                <w:rFonts w:ascii="Tinos" w:hAnsi="Tinos"/>
                <w:b w:val="false"/>
                <w:bCs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 xml:space="preserve"> 1093 «О федеральном государственном контроле (надзоре) за состоянием, содержанием, сохранением, использованием, популяризацией                          и государственной охраной объектов культурного наследия»</w:t>
            </w:r>
            <w:r>
              <w:rPr>
                <w:rFonts w:ascii="Tinos" w:hAnsi="Tinos"/>
                <w:b w:val="false"/>
                <w:bCs w:val="false"/>
                <w:i w:val="false"/>
                <w:strike w:val="false"/>
                <w:dstrike w:val="false"/>
                <w:sz w:val="28"/>
                <w:szCs w:val="28"/>
                <w:u w:val="none"/>
              </w:rPr>
              <w:t>)</w:t>
            </w:r>
          </w:p>
          <w:p>
            <w:pPr>
              <w:pStyle w:val="Normal"/>
              <w:ind w:left="0" w:right="0" w:hanging="0"/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widowControl w:val="false"/>
              <w:suppressAutoHyphens w:val="true"/>
              <w:spacing w:before="0" w:after="0"/>
              <w:ind w:left="0" w:right="0" w:hanging="0"/>
              <w:contextualSpacing/>
              <w:jc w:val="center"/>
              <w:rPr>
                <w:sz w:val="28"/>
              </w:rPr>
            </w:pPr>
            <w:r>
              <w:rPr>
                <w:rFonts w:eastAsia="Tahoma" w:cs="Noto Sans Devanagari" w:ascii="Times New Roman" w:hAnsi="Times New Roman"/>
                <w:spacing w:val="0"/>
                <w:kern w:val="0"/>
                <w:sz w:val="28"/>
                <w:szCs w:val="20"/>
                <w:lang w:val="ru-RU" w:eastAsia="zh-CN" w:bidi="hi-IN"/>
              </w:rPr>
              <w:t>Отдел</w:t>
            </w:r>
          </w:p>
        </w:tc>
      </w:tr>
    </w:tbl>
    <w:p>
      <w:pPr>
        <w:pStyle w:val="NormalWeb1"/>
        <w:spacing w:before="0" w:after="0"/>
        <w:contextualSpacing/>
        <w:jc w:val="both"/>
        <w:rPr>
          <w:sz w:val="28"/>
        </w:rPr>
      </w:pPr>
      <w:r>
        <w:rPr>
          <w:sz w:val="28"/>
        </w:rPr>
      </w:r>
    </w:p>
    <w:p>
      <w:pPr>
        <w:pStyle w:val="NormalWeb1"/>
        <w:spacing w:before="120" w:after="0"/>
        <w:contextualSpacing/>
        <w:jc w:val="center"/>
        <w:rPr>
          <w:sz w:val="28"/>
        </w:rPr>
      </w:pPr>
      <w:r>
        <w:rPr>
          <w:sz w:val="28"/>
        </w:rPr>
        <w:t xml:space="preserve">Раздел 4. Показатели результативности и эффективности </w:t>
      </w:r>
    </w:p>
    <w:p>
      <w:pPr>
        <w:pStyle w:val="NormalWeb1"/>
        <w:spacing w:before="120" w:after="0"/>
        <w:contextualSpacing/>
        <w:jc w:val="center"/>
        <w:rPr>
          <w:sz w:val="28"/>
        </w:rPr>
      </w:pPr>
      <w:r>
        <w:rPr>
          <w:sz w:val="28"/>
        </w:rPr>
        <w:t>Программы профилактики</w:t>
      </w:r>
    </w:p>
    <w:p>
      <w:pPr>
        <w:pStyle w:val="NormalWeb1"/>
        <w:spacing w:before="120" w:after="0"/>
        <w:contextualSpacing/>
        <w:jc w:val="center"/>
        <w:rPr>
          <w:sz w:val="28"/>
        </w:rPr>
      </w:pPr>
      <w:r>
        <w:rPr>
          <w:sz w:val="28"/>
        </w:rPr>
      </w:r>
    </w:p>
    <w:p>
      <w:pPr>
        <w:pStyle w:val="Normal"/>
        <w:ind w:left="0" w:right="0" w:firstLine="709"/>
        <w:jc w:val="both"/>
        <w:rPr>
          <w:sz w:val="28"/>
        </w:rPr>
      </w:pPr>
      <w:r>
        <w:rPr>
          <w:sz w:val="28"/>
        </w:rPr>
        <w:t>Основными критериями оценки эффективности и результативности профилактических мероприятий являются:</w:t>
      </w:r>
    </w:p>
    <w:p>
      <w:pPr>
        <w:pStyle w:val="Normal"/>
        <w:ind w:left="0" w:right="0" w:firstLine="709"/>
        <w:jc w:val="both"/>
        <w:rPr>
          <w:sz w:val="28"/>
        </w:rPr>
      </w:pPr>
      <w:r>
        <w:rPr>
          <w:sz w:val="28"/>
        </w:rPr>
        <w:t>- результативность деятельности Комитета;</w:t>
      </w:r>
    </w:p>
    <w:p>
      <w:pPr>
        <w:pStyle w:val="Normal"/>
        <w:ind w:left="0" w:right="0" w:firstLine="709"/>
        <w:jc w:val="both"/>
        <w:rPr>
          <w:sz w:val="28"/>
        </w:rPr>
      </w:pPr>
      <w:r>
        <w:rPr>
          <w:sz w:val="28"/>
        </w:rPr>
        <w:t>- информированность контролируемых лиц об обязательных требованиях, о принятых и готовящихся изменениях в системе обязательных требований, о порядке проведения мероприятий по контролю, правах контролируемых лиц в ходе мероприятий по контролю;</w:t>
      </w:r>
    </w:p>
    <w:p>
      <w:pPr>
        <w:pStyle w:val="Normal"/>
        <w:ind w:left="0" w:right="0" w:firstLine="709"/>
        <w:jc w:val="both"/>
        <w:rPr>
          <w:sz w:val="28"/>
        </w:rPr>
      </w:pPr>
      <w:r>
        <w:rPr>
          <w:sz w:val="28"/>
        </w:rPr>
        <w:t>- понятность обязательных требований контролируемым лицам;</w:t>
      </w:r>
    </w:p>
    <w:p>
      <w:pPr>
        <w:pStyle w:val="Normal"/>
        <w:ind w:left="0" w:right="0" w:firstLine="709"/>
        <w:jc w:val="both"/>
        <w:rPr>
          <w:sz w:val="28"/>
        </w:rPr>
      </w:pPr>
      <w:r>
        <w:rPr>
          <w:sz w:val="28"/>
        </w:rPr>
        <w:t>- вовлечение контролируемых лиц во взаимодействие с Комитетом, в том числе в рамках проводимых профилактических мероприятий.</w:t>
      </w:r>
    </w:p>
    <w:p>
      <w:pPr>
        <w:pStyle w:val="Normal"/>
        <w:ind w:left="0" w:right="0" w:firstLine="709"/>
        <w:jc w:val="both"/>
        <w:rPr>
          <w:sz w:val="28"/>
        </w:rPr>
      </w:pPr>
      <w:r>
        <w:rPr>
          <w:sz w:val="28"/>
        </w:rPr>
        <w:t>Оценка эффективности и результативности профилактических мероприятий осуществляется в ходе анализа выполнения мероприятий Программы профилактики по следующим индикативным показателям:</w:t>
      </w:r>
    </w:p>
    <w:p>
      <w:pPr>
        <w:pStyle w:val="Normal"/>
        <w:ind w:left="0" w:right="0" w:firstLine="709"/>
        <w:jc w:val="both"/>
        <w:rPr>
          <w:sz w:val="28"/>
        </w:rPr>
      </w:pPr>
      <w:r>
        <w:rPr>
          <w:sz w:val="28"/>
        </w:rPr>
        <w:t>- количество проведенных профилактических мероприятий, ед.;</w:t>
      </w:r>
    </w:p>
    <w:p>
      <w:pPr>
        <w:pStyle w:val="Normal"/>
        <w:ind w:left="0" w:right="0" w:firstLine="709"/>
        <w:jc w:val="both"/>
        <w:rPr>
          <w:sz w:val="28"/>
        </w:rPr>
      </w:pPr>
      <w:r>
        <w:rPr>
          <w:sz w:val="28"/>
        </w:rPr>
        <w:t>- количество докладов по профилактике нарушений обязательных требований, размещенных на официальном сайте Комитета в информационно-телекоммуникационной сети Интернет, ед.;</w:t>
      </w:r>
    </w:p>
    <w:p>
      <w:pPr>
        <w:pStyle w:val="Normal"/>
        <w:ind w:left="0" w:right="0" w:firstLine="709"/>
        <w:jc w:val="both"/>
        <w:rPr>
          <w:sz w:val="28"/>
        </w:rPr>
      </w:pPr>
      <w:r>
        <w:rPr>
          <w:sz w:val="28"/>
        </w:rPr>
        <w:t>- количество контролируемых лиц, в отношении которых проведены профилактические мероприятия, ед.;</w:t>
      </w:r>
    </w:p>
    <w:p>
      <w:pPr>
        <w:pStyle w:val="Normal"/>
        <w:ind w:left="0" w:right="0" w:firstLine="709"/>
        <w:jc w:val="both"/>
        <w:rPr>
          <w:sz w:val="28"/>
        </w:rPr>
      </w:pPr>
      <w:r>
        <w:rPr>
          <w:sz w:val="28"/>
        </w:rPr>
        <w:t>- наличие на официальном сайте Комитета в информационно-телекоммуникационной сети Интернет актуального перечня актов, содержащих обязательные требования, соблюдение которых оценивается при проведении мероприятий по контролю;</w:t>
      </w:r>
    </w:p>
    <w:p>
      <w:pPr>
        <w:pStyle w:val="Normal"/>
        <w:ind w:left="0" w:right="0" w:firstLine="709"/>
        <w:jc w:val="both"/>
        <w:rPr>
          <w:sz w:val="28"/>
        </w:rPr>
      </w:pPr>
      <w:r>
        <w:rPr>
          <w:sz w:val="28"/>
        </w:rPr>
        <w:t>- количество консультаций, оказанных контролируемым лицам по вопросам соблюдения обязательных требований, содержащихся в нормативных правовых актах, ед.;</w:t>
      </w:r>
    </w:p>
    <w:p>
      <w:pPr>
        <w:pStyle w:val="Normal"/>
        <w:ind w:left="0" w:right="0" w:firstLine="709"/>
        <w:jc w:val="both"/>
        <w:rPr>
          <w:sz w:val="28"/>
        </w:rPr>
      </w:pPr>
      <w:r>
        <w:rPr>
          <w:sz w:val="28"/>
        </w:rPr>
        <w:t>- количество обобщений практики осуществления регионального государственного контроля (надзора), размещенных на официальном сайте Комитета в информационно-телекоммуникационной сети Интернет, ед.;</w:t>
      </w:r>
    </w:p>
    <w:p>
      <w:pPr>
        <w:pStyle w:val="Normal"/>
        <w:ind w:left="0" w:right="0" w:firstLine="709"/>
        <w:jc w:val="both"/>
        <w:rPr>
          <w:sz w:val="28"/>
        </w:rPr>
      </w:pPr>
      <w:r>
        <w:rPr>
          <w:sz w:val="28"/>
        </w:rPr>
        <w:t>Результаты оценки эффективности и результативности профилактических мероприятий отражаются в докладе об итогах профилактической работы, проведенной комитетом.</w:t>
      </w:r>
    </w:p>
    <w:p>
      <w:pPr>
        <w:pStyle w:val="Normal"/>
        <w:ind w:left="0" w:right="0" w:firstLine="709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  <w:t xml:space="preserve">Показатели </w:t>
      </w:r>
    </w:p>
    <w:p>
      <w:pPr>
        <w:pStyle w:val="Normal"/>
        <w:jc w:val="center"/>
        <w:rPr>
          <w:sz w:val="28"/>
        </w:rPr>
      </w:pPr>
      <w:r>
        <w:rPr>
          <w:sz w:val="28"/>
        </w:rPr>
        <w:t xml:space="preserve">эффективности и результативности профилактических мероприятий </w:t>
      </w:r>
    </w:p>
    <w:p>
      <w:pPr>
        <w:pStyle w:val="Normal"/>
        <w:jc w:val="center"/>
        <w:rPr>
          <w:sz w:val="28"/>
        </w:rPr>
      </w:pPr>
      <w:r>
        <w:rPr>
          <w:sz w:val="28"/>
        </w:rPr>
        <w:t>в 2024 году</w:t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tbl>
      <w:tblPr>
        <w:tblStyle w:val="Style_6"/>
        <w:tblW w:w="9572" w:type="dxa"/>
        <w:jc w:val="left"/>
        <w:tblInd w:w="62" w:type="dxa"/>
        <w:tblLayout w:type="fixed"/>
        <w:tblCellMar>
          <w:top w:w="57" w:type="dxa"/>
          <w:left w:w="62" w:type="dxa"/>
          <w:bottom w:w="57" w:type="dxa"/>
          <w:right w:w="62" w:type="dxa"/>
        </w:tblCellMar>
      </w:tblPr>
      <w:tblGrid>
        <w:gridCol w:w="510"/>
        <w:gridCol w:w="7074"/>
        <w:gridCol w:w="1988"/>
      </w:tblGrid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center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 xml:space="preserve">№ </w:t>
            </w:r>
            <w:r>
              <w:rPr>
                <w:spacing w:val="0"/>
                <w:kern w:val="0"/>
                <w:sz w:val="28"/>
                <w:szCs w:val="20"/>
              </w:rPr>
              <w:t>п/п</w:t>
            </w:r>
          </w:p>
        </w:tc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center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Наименование показателя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center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Величина</w:t>
            </w:r>
          </w:p>
        </w:tc>
      </w:tr>
      <w:tr>
        <w:trPr>
          <w:trHeight w:val="613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both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1.</w:t>
            </w:r>
          </w:p>
        </w:tc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ind w:left="0" w:right="0" w:hanging="0"/>
              <w:jc w:val="both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Полнота информации, размещаемая на официальном сайте Комитета в информационно-телекоммуникационной сети Интернет в соответствии с пунктом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ind w:left="0" w:right="0" w:hanging="0"/>
              <w:jc w:val="center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100%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both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2.</w:t>
            </w:r>
          </w:p>
        </w:tc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both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Удовлетворенность доступностью на официальном сайте Комитета в информационно-телекоммуникационной сети Интернет для контролируемых лиц информации о принятых и готовящихся изменениях обязательных требований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center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не менее 80%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both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3.</w:t>
            </w:r>
          </w:p>
        </w:tc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both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Проведение профилактических мероприятий, предусмотренных перечнем, в соответствии со сроками (периодичностью) их проведения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center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100%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both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4.</w:t>
            </w:r>
          </w:p>
        </w:tc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both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Количество проведенных профилактических мероприятий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center"/>
              <w:rPr>
                <w:sz w:val="28"/>
              </w:rPr>
            </w:pPr>
            <w:r>
              <w:rPr>
                <w:spacing w:val="0"/>
                <w:kern w:val="0"/>
                <w:sz w:val="28"/>
                <w:szCs w:val="20"/>
              </w:rPr>
              <w:t>не менее 4</w:t>
            </w:r>
            <w:bookmarkStart w:id="0" w:name="_GoBack"/>
            <w:bookmarkEnd w:id="0"/>
          </w:p>
        </w:tc>
      </w:tr>
    </w:tbl>
    <w:p>
      <w:pPr>
        <w:pStyle w:val="Normal"/>
        <w:ind w:left="0" w:right="0" w:firstLine="709"/>
        <w:jc w:val="both"/>
        <w:rPr>
          <w:sz w:val="28"/>
        </w:rPr>
      </w:pPr>
      <w:r>
        <w:rPr/>
      </w:r>
    </w:p>
    <w:sectPr>
      <w:headerReference w:type="default" r:id="rId2"/>
      <w:type w:val="nextPage"/>
      <w:pgSz w:w="11906" w:h="16838"/>
      <w:pgMar w:left="1418" w:right="851" w:header="709" w:top="1134" w:footer="0" w:bottom="993" w:gutter="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XO Thames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Tinos"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0"/>
      <w:jc w:val="cen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90930" cy="17462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9044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fillcolor="white" stroked="f" style="position:absolute;margin-left:197.95pt;margin-top:0.05pt;width:85.8pt;height:13.65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Normal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Style2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0" w:hanging="43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30" w:hanging="65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0" w:hanging="79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5" w:hanging="93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5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1414" w:hanging="70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 Devanagari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4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link w:val="Style_2_ch"/>
    <w:uiPriority w:val="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1">
    <w:name w:val="Heading 1"/>
    <w:basedOn w:val="Normal"/>
    <w:next w:val="Normal"/>
    <w:link w:val="Style_21_ch"/>
    <w:uiPriority w:val="9"/>
    <w:qFormat/>
    <w:pPr>
      <w:keepNext w:val="true"/>
      <w:spacing w:lineRule="exact" w:line="240"/>
      <w:ind w:left="216" w:right="0" w:hanging="216"/>
      <w:outlineLvl w:val="0"/>
    </w:pPr>
    <w:rPr>
      <w:sz w:val="28"/>
    </w:rPr>
  </w:style>
  <w:style w:type="paragraph" w:styleId="2">
    <w:name w:val="Heading 2"/>
    <w:next w:val="Normal"/>
    <w:link w:val="Style_35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1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">
    <w:name w:val="Heading 3"/>
    <w:next w:val="Normal"/>
    <w:link w:val="Style_13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2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4">
    <w:name w:val="Heading 4"/>
    <w:next w:val="Normal"/>
    <w:link w:val="Style_34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5">
    <w:name w:val="Heading 5"/>
    <w:next w:val="Normal"/>
    <w:link w:val="Style_20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link w:val="Style_7"/>
    <w:qFormat/>
    <w:rPr>
      <w:rFonts w:ascii="XO Thames" w:hAnsi="XO Thames"/>
      <w:sz w:val="28"/>
    </w:rPr>
  </w:style>
  <w:style w:type="character" w:styleId="Contents4">
    <w:name w:val="Contents 4"/>
    <w:link w:val="Style_8"/>
    <w:qFormat/>
    <w:rPr>
      <w:rFonts w:ascii="XO Thames" w:hAnsi="XO Thames"/>
      <w:sz w:val="28"/>
    </w:rPr>
  </w:style>
  <w:style w:type="character" w:styleId="Contents6">
    <w:name w:val="Contents 6"/>
    <w:link w:val="Style_9"/>
    <w:qFormat/>
    <w:rPr>
      <w:rFonts w:ascii="XO Thames" w:hAnsi="XO Thames"/>
      <w:sz w:val="28"/>
    </w:rPr>
  </w:style>
  <w:style w:type="character" w:styleId="ConsPlusNonformat">
    <w:name w:val="ConsPlusNonformat"/>
    <w:link w:val="Style_10"/>
    <w:qFormat/>
    <w:rPr>
      <w:rFonts w:ascii="Courier New" w:hAnsi="Courier New"/>
      <w:color w:val="000000"/>
      <w:sz w:val="20"/>
    </w:rPr>
  </w:style>
  <w:style w:type="character" w:styleId="Contents7">
    <w:name w:val="Contents 7"/>
    <w:link w:val="Style_11"/>
    <w:qFormat/>
    <w:rPr>
      <w:rFonts w:ascii="XO Thames" w:hAnsi="XO Thames"/>
      <w:sz w:val="28"/>
    </w:rPr>
  </w:style>
  <w:style w:type="character" w:styleId="Header">
    <w:name w:val="Header"/>
    <w:link w:val="Style_1"/>
    <w:qFormat/>
    <w:rPr/>
  </w:style>
  <w:style w:type="character" w:styleId="ConsPlusNormal">
    <w:name w:val="ConsPlusNormal"/>
    <w:link w:val="Style_5"/>
    <w:qFormat/>
    <w:rPr>
      <w:rFonts w:ascii="Calibri" w:hAnsi="Calibri" w:asciiTheme="minorAscii" w:hAnsiTheme="minorHAnsi"/>
      <w:color w:val="000000"/>
      <w:sz w:val="22"/>
    </w:rPr>
  </w:style>
  <w:style w:type="character" w:styleId="NormalWeb">
    <w:name w:val="Normal (Web)"/>
    <w:link w:val="Style_4"/>
    <w:qFormat/>
    <w:rPr/>
  </w:style>
  <w:style w:type="character" w:styleId="Textbody">
    <w:name w:val="Text body"/>
    <w:link w:val="Style_12"/>
    <w:qFormat/>
    <w:rPr/>
  </w:style>
  <w:style w:type="character" w:styleId="Heading3">
    <w:name w:val="Heading 3"/>
    <w:link w:val="Style_13"/>
    <w:qFormat/>
    <w:rPr>
      <w:rFonts w:ascii="XO Thames" w:hAnsi="XO Thames"/>
      <w:b/>
      <w:sz w:val="26"/>
    </w:rPr>
  </w:style>
  <w:style w:type="character" w:styleId="Caption">
    <w:name w:val="Caption"/>
    <w:link w:val="Style_14"/>
    <w:qFormat/>
    <w:rPr>
      <w:rFonts w:ascii="PT Astra Serif" w:hAnsi="PT Astra Serif"/>
      <w:i/>
      <w:sz w:val="24"/>
    </w:rPr>
  </w:style>
  <w:style w:type="character" w:styleId="Style9">
    <w:name w:val="Заголовок"/>
    <w:link w:val="Style_15"/>
    <w:qFormat/>
    <w:rPr>
      <w:rFonts w:ascii="PT Astra Serif" w:hAnsi="PT Astra Serif"/>
      <w:sz w:val="28"/>
    </w:rPr>
  </w:style>
  <w:style w:type="character" w:styleId="DefaultParagraphFont">
    <w:name w:val="Default Paragraph Font"/>
    <w:link w:val="Style_16"/>
    <w:qFormat/>
    <w:rPr/>
  </w:style>
  <w:style w:type="character" w:styleId="Contents3">
    <w:name w:val="Contents 3"/>
    <w:link w:val="Style_17"/>
    <w:qFormat/>
    <w:rPr>
      <w:rFonts w:ascii="XO Thames" w:hAnsi="XO Thames"/>
      <w:sz w:val="28"/>
    </w:rPr>
  </w:style>
  <w:style w:type="character" w:styleId="Style10">
    <w:name w:val="Верхний колонтитул Знак"/>
    <w:basedOn w:val="DefaultParagraphFont"/>
    <w:link w:val="Style_18"/>
    <w:qFormat/>
    <w:rPr>
      <w:rFonts w:ascii="Times New Roman" w:hAnsi="Times New Roman"/>
      <w:sz w:val="24"/>
    </w:rPr>
  </w:style>
  <w:style w:type="character" w:styleId="Style11">
    <w:name w:val="Верхний и нижний колонтитулы"/>
    <w:link w:val="Style_19"/>
    <w:qFormat/>
    <w:rPr/>
  </w:style>
  <w:style w:type="character" w:styleId="Heading5">
    <w:name w:val="Heading 5"/>
    <w:link w:val="Style_20"/>
    <w:qFormat/>
    <w:rPr>
      <w:rFonts w:ascii="XO Thames" w:hAnsi="XO Thames"/>
      <w:b/>
      <w:sz w:val="22"/>
    </w:rPr>
  </w:style>
  <w:style w:type="character" w:styleId="Heading1">
    <w:name w:val="Heading 1"/>
    <w:link w:val="Style_21"/>
    <w:qFormat/>
    <w:rPr>
      <w:sz w:val="28"/>
    </w:rPr>
  </w:style>
  <w:style w:type="character" w:styleId="Style12">
    <w:name w:val="Интернет-ссылка"/>
    <w:link w:val="Style_27"/>
    <w:rPr>
      <w:color w:val="0000FF"/>
      <w:u w:val="single"/>
    </w:rPr>
  </w:style>
  <w:style w:type="character" w:styleId="Footnote">
    <w:name w:val="Footnote"/>
    <w:link w:val="Style_23"/>
    <w:qFormat/>
    <w:rPr>
      <w:rFonts w:ascii="XO Thames" w:hAnsi="XO Thames"/>
      <w:sz w:val="22"/>
    </w:rPr>
  </w:style>
  <w:style w:type="character" w:styleId="Contents1">
    <w:name w:val="Contents 1"/>
    <w:link w:val="Style_24"/>
    <w:qFormat/>
    <w:rPr>
      <w:rFonts w:ascii="XO Thames" w:hAnsi="XO Thames"/>
      <w:b/>
      <w:sz w:val="28"/>
    </w:rPr>
  </w:style>
  <w:style w:type="character" w:styleId="HeaderandFooter">
    <w:name w:val="Header and Footer"/>
    <w:link w:val="Style_25"/>
    <w:qFormat/>
    <w:rPr>
      <w:rFonts w:ascii="XO Thames" w:hAnsi="XO Thames"/>
      <w:sz w:val="20"/>
    </w:rPr>
  </w:style>
  <w:style w:type="character" w:styleId="Contents9">
    <w:name w:val="Contents 9"/>
    <w:link w:val="Style_26"/>
    <w:qFormat/>
    <w:rPr>
      <w:rFonts w:ascii="XO Thames" w:hAnsi="XO Thames"/>
      <w:sz w:val="28"/>
    </w:rPr>
  </w:style>
  <w:style w:type="character" w:styleId="Contents8">
    <w:name w:val="Contents 8"/>
    <w:link w:val="Style_28"/>
    <w:qFormat/>
    <w:rPr>
      <w:rFonts w:ascii="XO Thames" w:hAnsi="XO Thames"/>
      <w:sz w:val="28"/>
    </w:rPr>
  </w:style>
  <w:style w:type="character" w:styleId="Contents5">
    <w:name w:val="Contents 5"/>
    <w:link w:val="Style_29"/>
    <w:qFormat/>
    <w:rPr>
      <w:rFonts w:ascii="XO Thames" w:hAnsi="XO Thames"/>
      <w:sz w:val="28"/>
    </w:rPr>
  </w:style>
  <w:style w:type="character" w:styleId="Style13">
    <w:name w:val="Указатель"/>
    <w:link w:val="Style_30"/>
    <w:qFormat/>
    <w:rPr>
      <w:rFonts w:ascii="PT Astra Serif" w:hAnsi="PT Astra Serif"/>
    </w:rPr>
  </w:style>
  <w:style w:type="character" w:styleId="List">
    <w:name w:val="List"/>
    <w:basedOn w:val="Textbody"/>
    <w:link w:val="Style_31"/>
    <w:qFormat/>
    <w:rPr>
      <w:rFonts w:ascii="PT Astra Serif" w:hAnsi="PT Astra Serif"/>
    </w:rPr>
  </w:style>
  <w:style w:type="character" w:styleId="Subtitle">
    <w:name w:val="Subtitle"/>
    <w:link w:val="Style_32"/>
    <w:qFormat/>
    <w:rPr>
      <w:rFonts w:ascii="XO Thames" w:hAnsi="XO Thames"/>
      <w:i/>
      <w:sz w:val="24"/>
    </w:rPr>
  </w:style>
  <w:style w:type="character" w:styleId="ListParagraph">
    <w:name w:val="List Paragraph"/>
    <w:link w:val="Style_3"/>
    <w:qFormat/>
    <w:rPr>
      <w:sz w:val="20"/>
    </w:rPr>
  </w:style>
  <w:style w:type="character" w:styleId="Title">
    <w:name w:val="Title"/>
    <w:link w:val="Style_33"/>
    <w:qFormat/>
    <w:rPr>
      <w:rFonts w:ascii="XO Thames" w:hAnsi="XO Thames"/>
      <w:b/>
      <w:caps/>
      <w:sz w:val="40"/>
    </w:rPr>
  </w:style>
  <w:style w:type="character" w:styleId="Heading4">
    <w:name w:val="Heading 4"/>
    <w:link w:val="Style_34"/>
    <w:qFormat/>
    <w:rPr>
      <w:rFonts w:ascii="XO Thames" w:hAnsi="XO Thames"/>
      <w:b/>
      <w:sz w:val="24"/>
    </w:rPr>
  </w:style>
  <w:style w:type="character" w:styleId="Heading2">
    <w:name w:val="Heading 2"/>
    <w:link w:val="Style_35"/>
    <w:qFormat/>
    <w:rPr>
      <w:rFonts w:ascii="XO Thames" w:hAnsi="XO Thames"/>
      <w:b/>
      <w:sz w:val="28"/>
    </w:rPr>
  </w:style>
  <w:style w:type="paragraph" w:styleId="Style14">
    <w:name w:val="Заголовок"/>
    <w:basedOn w:val="Normal"/>
    <w:next w:val="Style15"/>
    <w:link w:val="Style_15_ch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Style15">
    <w:name w:val="Body Text"/>
    <w:basedOn w:val="Normal"/>
    <w:link w:val="Style_12_ch"/>
    <w:pPr>
      <w:spacing w:lineRule="auto" w:line="276" w:before="0" w:after="140"/>
    </w:pPr>
    <w:rPr/>
  </w:style>
  <w:style w:type="paragraph" w:styleId="Style16">
    <w:name w:val="List"/>
    <w:basedOn w:val="Style15"/>
    <w:link w:val="Style_31_ch"/>
    <w:pPr/>
    <w:rPr>
      <w:rFonts w:ascii="PT Astra Serif" w:hAnsi="PT Astra Serif"/>
    </w:rPr>
  </w:style>
  <w:style w:type="paragraph" w:styleId="Style17">
    <w:name w:val="Caption"/>
    <w:basedOn w:val="Normal"/>
    <w:link w:val="Style_14_ch"/>
    <w:qFormat/>
    <w:pPr>
      <w:spacing w:before="120" w:after="120"/>
    </w:pPr>
    <w:rPr>
      <w:rFonts w:ascii="PT Astra Serif" w:hAnsi="PT Astra Serif"/>
      <w:i/>
      <w:sz w:val="24"/>
    </w:rPr>
  </w:style>
  <w:style w:type="paragraph" w:styleId="Style18">
    <w:name w:val="Указатель"/>
    <w:basedOn w:val="Normal"/>
    <w:link w:val="Style_30_ch"/>
    <w:qFormat/>
    <w:pPr/>
    <w:rPr>
      <w:rFonts w:ascii="PT Astra Serif" w:hAnsi="PT Astra Serif"/>
    </w:rPr>
  </w:style>
  <w:style w:type="paragraph" w:styleId="21">
    <w:name w:val="TOC 2"/>
    <w:next w:val="Normal"/>
    <w:link w:val="Style_7_ch"/>
    <w:uiPriority w:val="39"/>
    <w:pPr>
      <w:widowControl/>
      <w:suppressAutoHyphens w:val="true"/>
      <w:bidi w:val="0"/>
      <w:spacing w:lineRule="auto" w:line="240" w:before="0" w:after="0"/>
      <w:ind w:left="2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41">
    <w:name w:val="TOC 4"/>
    <w:next w:val="Normal"/>
    <w:link w:val="Style_8_ch"/>
    <w:uiPriority w:val="39"/>
    <w:pPr>
      <w:widowControl/>
      <w:suppressAutoHyphens w:val="true"/>
      <w:bidi w:val="0"/>
      <w:spacing w:lineRule="auto" w:line="240" w:before="0" w:after="0"/>
      <w:ind w:left="6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6">
    <w:name w:val="TOC 6"/>
    <w:next w:val="Normal"/>
    <w:link w:val="Style_9_ch"/>
    <w:uiPriority w:val="39"/>
    <w:pPr>
      <w:widowControl/>
      <w:suppressAutoHyphens w:val="true"/>
      <w:bidi w:val="0"/>
      <w:spacing w:lineRule="auto" w:line="240" w:before="0" w:after="0"/>
      <w:ind w:left="10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Nonformat1">
    <w:name w:val="ConsPlusNonformat"/>
    <w:link w:val="Style_10_ch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7">
    <w:name w:val="TOC 7"/>
    <w:next w:val="Normal"/>
    <w:link w:val="Style_11_ch"/>
    <w:uiPriority w:val="39"/>
    <w:pPr>
      <w:widowControl/>
      <w:suppressAutoHyphens w:val="true"/>
      <w:bidi w:val="0"/>
      <w:spacing w:lineRule="auto" w:line="240" w:before="0" w:after="0"/>
      <w:ind w:left="12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9">
    <w:name w:val="Верхний и нижний колонтитулы"/>
    <w:link w:val="Style_25_ch"/>
    <w:qFormat/>
    <w:pPr>
      <w:widowControl/>
      <w:suppressAutoHyphens w:val="true"/>
      <w:bidi w:val="0"/>
      <w:spacing w:lineRule="auto" w:line="240" w:before="0" w:after="0"/>
      <w:ind w:left="0" w:right="0" w:hanging="0"/>
      <w:jc w:val="both"/>
    </w:pPr>
    <w:rPr>
      <w:rFonts w:ascii="XO Thames" w:hAnsi="XO Thame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0">
    <w:name w:val="Header"/>
    <w:basedOn w:val="Normal"/>
    <w:link w:val="Style_1_ch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ConsPlusNormal1">
    <w:name w:val="ConsPlusNormal"/>
    <w:link w:val="Style_5_ch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NormalWeb1">
    <w:name w:val="Normal (Web)"/>
    <w:basedOn w:val="Normal"/>
    <w:link w:val="Style_4_ch"/>
    <w:qFormat/>
    <w:pPr>
      <w:spacing w:beforeAutospacing="1" w:afterAutospacing="1"/>
    </w:pPr>
    <w:rPr/>
  </w:style>
  <w:style w:type="paragraph" w:styleId="DefaultParagraphFont1">
    <w:name w:val="Default Paragraph Font"/>
    <w:link w:val="Style_1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31">
    <w:name w:val="TOC 3"/>
    <w:next w:val="Normal"/>
    <w:link w:val="Style_17_ch"/>
    <w:uiPriority w:val="39"/>
    <w:pPr>
      <w:widowControl/>
      <w:suppressAutoHyphens w:val="true"/>
      <w:bidi w:val="0"/>
      <w:spacing w:lineRule="auto" w:line="240" w:before="0" w:after="0"/>
      <w:ind w:left="4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1">
    <w:name w:val="Верхний колонтитул Знак"/>
    <w:basedOn w:val="DefaultParagraphFont1"/>
    <w:link w:val="Style_18_ch"/>
    <w:qFormat/>
    <w:pPr/>
    <w:rPr>
      <w:rFonts w:ascii="Times New Roman" w:hAnsi="Times New Roman"/>
      <w:sz w:val="24"/>
    </w:rPr>
  </w:style>
  <w:style w:type="paragraph" w:styleId="Internetlink">
    <w:name w:val="Hyperlink"/>
    <w:link w:val="Style_2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"/>
    <w:link w:val="Style_23_ch"/>
    <w:qFormat/>
    <w:pPr>
      <w:widowControl/>
      <w:suppressAutoHyphens w:val="true"/>
      <w:bidi w:val="0"/>
      <w:spacing w:lineRule="auto" w:line="240" w:before="0" w:after="0"/>
      <w:ind w:left="0" w:right="0" w:firstLine="851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">
    <w:name w:val="TOC 1"/>
    <w:next w:val="Normal"/>
    <w:link w:val="Style_24_ch"/>
    <w:uiPriority w:val="39"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9">
    <w:name w:val="TOC 9"/>
    <w:next w:val="Normal"/>
    <w:link w:val="Style_26_ch"/>
    <w:uiPriority w:val="39"/>
    <w:pPr>
      <w:widowControl/>
      <w:suppressAutoHyphens w:val="true"/>
      <w:bidi w:val="0"/>
      <w:spacing w:lineRule="auto" w:line="240" w:before="0" w:after="0"/>
      <w:ind w:left="16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2">
    <w:name w:val="Интернет-ссылка"/>
    <w:link w:val="Style_2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8">
    <w:name w:val="TOC 8"/>
    <w:next w:val="Normal"/>
    <w:link w:val="Style_28_ch"/>
    <w:uiPriority w:val="39"/>
    <w:pPr>
      <w:widowControl/>
      <w:suppressAutoHyphens w:val="true"/>
      <w:bidi w:val="0"/>
      <w:spacing w:lineRule="auto" w:line="240" w:before="0" w:after="0"/>
      <w:ind w:left="14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51">
    <w:name w:val="TOC 5"/>
    <w:next w:val="Normal"/>
    <w:link w:val="Style_29_ch"/>
    <w:uiPriority w:val="39"/>
    <w:pPr>
      <w:widowControl/>
      <w:suppressAutoHyphens w:val="true"/>
      <w:bidi w:val="0"/>
      <w:spacing w:lineRule="auto" w:line="240" w:before="0" w:after="0"/>
      <w:ind w:left="8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3">
    <w:name w:val="Subtitle"/>
    <w:next w:val="Normal"/>
    <w:link w:val="Style_32_ch"/>
    <w:uiPriority w:val="11"/>
    <w:qFormat/>
    <w:pPr>
      <w:widowControl/>
      <w:suppressAutoHyphens w:val="true"/>
      <w:bidi w:val="0"/>
      <w:spacing w:lineRule="auto" w:line="240" w:before="0" w:after="0"/>
      <w:ind w:left="0" w:right="0" w:hanging="0"/>
      <w:jc w:val="both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ListParagraph1">
    <w:name w:val="List Paragraph"/>
    <w:basedOn w:val="Normal"/>
    <w:link w:val="Style_3_ch"/>
    <w:qFormat/>
    <w:pPr>
      <w:spacing w:before="0" w:after="0"/>
      <w:ind w:left="720" w:right="0" w:hanging="0"/>
      <w:contextualSpacing/>
    </w:pPr>
    <w:rPr>
      <w:sz w:val="20"/>
    </w:rPr>
  </w:style>
  <w:style w:type="paragraph" w:styleId="Style24">
    <w:name w:val="Title"/>
    <w:next w:val="Normal"/>
    <w:link w:val="Style_33_ch"/>
    <w:uiPriority w:val="10"/>
    <w:qFormat/>
    <w:pPr>
      <w:widowControl/>
      <w:suppressAutoHyphens w:val="true"/>
      <w:bidi w:val="0"/>
      <w:spacing w:lineRule="auto" w:line="240" w:before="567" w:after="567"/>
      <w:ind w:left="0" w:right="0" w:hanging="0"/>
      <w:jc w:val="center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Style25">
    <w:name w:val="Содержимое врезки"/>
    <w:basedOn w:val="Normal"/>
    <w:qFormat/>
    <w:pPr/>
    <w:rPr/>
  </w:style>
  <w:style w:type="table" w:default="1" w:styleId="Style_6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LibreOffice/7.0.6.2$Linux_X86_64 LibreOffice_project/00$Build-2</Application>
  <AppVersion>15.0000</AppVersion>
  <Pages>8</Pages>
  <Words>1667</Words>
  <Characters>13362</Characters>
  <CharactersWithSpaces>15006</CharactersWithSpaces>
  <Paragraphs>119</Paragraphs>
  <Company>КонсультантПлюс Версия 4023.00.09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2023-10-03T10:41:00Z</dcterms:created>
  <dc:creator/>
  <dc:description/>
  <dc:language>ru-RU</dc:language>
  <cp:lastModifiedBy/>
  <dcterms:modified xsi:type="dcterms:W3CDTF">2023-10-03T10:57:44Z</dcterms:modified>
  <cp:revision>2</cp:revision>
  <dc:subject/>
  <dc:title>Постановление Правительства РФ от 30.06.2021 N 1093(ред. от 26.11.2021)"О федеральном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наследия"(вместе с "Положением о федеральном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наследия")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