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shd w:fill="auto" w:val="clear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shd w:fill="auto" w:val="clear"/>
          <w:lang w:val="ru-RU" w:eastAsia="ar-SA" w:bidi="ar-SA"/>
        </w:rPr>
        <w:t>ПРОЕКТ</w:t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highlight w:val="yellow"/>
          <w:lang w:val="ru-RU" w:eastAsia="ar-SA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highlight w:val="yellow"/>
          <w:lang w:val="ru-RU" w:eastAsia="ar-SA" w:bidi="ar-SA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Доклад о правоприменительной практике осуществления комитетом Ивановской области по государственной охране объектов культурного наследия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jc w:val="center"/>
        <w:rPr>
          <w:b/>
          <w:b/>
        </w:rPr>
      </w:pPr>
      <w:r>
        <w:rPr>
          <w:b/>
        </w:rPr>
        <w:t>Организация осуществления государственного надзора в области охраны объектов культурного наследия</w:t>
      </w:r>
    </w:p>
    <w:p>
      <w:pPr>
        <w:pStyle w:val="Style20"/>
        <w:tabs>
          <w:tab w:val="clear" w:pos="708"/>
          <w:tab w:val="left" w:pos="284" w:leader="none"/>
        </w:tabs>
        <w:ind w:hanging="0"/>
        <w:rPr>
          <w:b/>
          <w:b/>
        </w:rPr>
      </w:pPr>
      <w:r>
        <w:rPr>
          <w:b/>
        </w:rPr>
      </w:r>
    </w:p>
    <w:p>
      <w:pPr>
        <w:pStyle w:val="Style20"/>
        <w:rPr/>
      </w:pPr>
      <w:r>
        <w:rPr/>
        <w:t>Комитет Ивановской области по государственной охране объектов культурного наследия (далее – Комитет) осуществляет государственн</w:t>
      </w:r>
      <w:r>
        <w:rPr/>
        <w:t>ый</w:t>
      </w:r>
      <w:r>
        <w:rPr/>
        <w:t xml:space="preserve"> контрол</w:t>
      </w:r>
      <w:r>
        <w:rPr/>
        <w:t>ь</w:t>
      </w:r>
      <w:r>
        <w:rPr/>
        <w:t xml:space="preserve"> (надзор) за состоянием, содержанием, сохранением, использованием, популяризацией и государственной охраной объектов культурного наследия, </w:t>
      </w:r>
      <w:r>
        <w:rPr/>
        <w:t>в том числе:</w:t>
      </w:r>
    </w:p>
    <w:p>
      <w:pPr>
        <w:pStyle w:val="Style20"/>
        <w:rPr/>
      </w:pPr>
      <w:r>
        <w:rPr/>
        <w:t xml:space="preserve">– </w:t>
      </w:r>
      <w:r>
        <w:rPr/>
        <w:t>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(далее – региональный государственный контроль (надзор);</w:t>
      </w:r>
    </w:p>
    <w:p>
      <w:pPr>
        <w:pStyle w:val="Style20"/>
        <w:rPr/>
      </w:pPr>
      <w:r>
        <w:rPr/>
        <w:t xml:space="preserve">– </w:t>
      </w:r>
      <w:r>
        <w:rPr/>
        <w:t>федеральный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(далее – федеральный государственный контроль (надзор), за исключением отдельных объектов культурного наследия федерального значения, перечень которых устанавливается Правительством Российской Федерации.</w:t>
      </w:r>
    </w:p>
    <w:p>
      <w:pPr>
        <w:pStyle w:val="Style20"/>
        <w:rPr/>
      </w:pPr>
      <w:r>
        <w:rPr/>
        <w:t>До 1 июля 2021 года государственный контроль (надзор) в области охраны объектов культурного наследия осуществлялся согласно Федеральному закону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посредством организации и проведения плановых и внеплановых проверок, а также мероприятий по контролю за состоянием объектов культурного наследия и по систематическому наблюдению в соответствии со статьей 11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 № 73-ФЗ).</w:t>
      </w:r>
    </w:p>
    <w:p>
      <w:pPr>
        <w:pStyle w:val="Style20"/>
        <w:rPr/>
      </w:pPr>
      <w:r>
        <w:rPr/>
        <w:t>1 июля 2021 вступил в законную силу Федеральный закон от 31.07.2020 № 248-ФЗ «О государственном контроле (надзоре) и муниципальном контроле в Российской Федерации» (далее – Федеральный закон № 248-ФЗ), в соответствии с которым государственный контроль (надзор) в области охраны объектов культурного наследия осуществляется посредством инспекционных визитов, рейдовых осмотров, документарных и выездных проверок, контрольных (надзорных) мероприятий без взаимодействия с контролируемыми лицами в форме наблюдения за соблюдением обязательных требований (мониторинга безопасности) и выездного обследования.</w:t>
      </w:r>
    </w:p>
    <w:p>
      <w:pPr>
        <w:pStyle w:val="Style20"/>
        <w:rPr/>
      </w:pPr>
      <w:r>
        <w:rPr/>
        <w:t>Согласно статье 11 Федерального закона № 73-ФЗ контрольные (надзорные) мероприятия осуществляются на основании программы проверок, плановые контрольные (надзорные) мероприятия Комитетом не проводятся.</w:t>
      </w:r>
    </w:p>
    <w:p>
      <w:pPr>
        <w:pStyle w:val="Style20"/>
        <w:rPr/>
      </w:pPr>
      <w:r>
        <w:rPr/>
        <w:t>Федеральный государственный контроль (надзор) осуществляется в соответствии с Положением 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Правительства Российской Федерации от 30.06.2021 № 1093.</w:t>
      </w:r>
    </w:p>
    <w:p>
      <w:pPr>
        <w:pStyle w:val="Style20"/>
        <w:rPr/>
      </w:pPr>
      <w:r>
        <w:rPr/>
        <w:t>Региональный государственный контроль (надзор) осуществляется в соответствии с Положением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Правительства Ивановской области от 13.12.2021 № 607-п.</w:t>
      </w:r>
    </w:p>
    <w:p>
      <w:pPr>
        <w:pStyle w:val="Style20"/>
        <w:ind w:hanging="0"/>
        <w:rPr/>
      </w:pPr>
      <w:r>
        <w:rPr/>
      </w:r>
    </w:p>
    <w:p>
      <w:pPr>
        <w:pStyle w:val="Style20"/>
        <w:ind w:hanging="0"/>
        <w:jc w:val="center"/>
        <w:rPr>
          <w:b/>
          <w:b/>
        </w:rPr>
      </w:pPr>
      <w:r>
        <w:rPr>
          <w:b/>
        </w:rPr>
        <w:t>2. Осуществление государственного контроля (надзора) в области охраны объектов культурного наследия</w:t>
      </w:r>
    </w:p>
    <w:p>
      <w:pPr>
        <w:pStyle w:val="Style20"/>
        <w:ind w:hanging="0"/>
        <w:jc w:val="center"/>
        <w:rPr/>
      </w:pPr>
      <w:r>
        <w:rPr/>
      </w:r>
    </w:p>
    <w:p>
      <w:pPr>
        <w:pStyle w:val="Style20"/>
        <w:rPr/>
      </w:pPr>
      <w:r>
        <w:rPr/>
        <w:t>Комитетом в 2021 году проведено 4 контрольных (надзорных) мероприятий с взаимодействием с контролируемыми лицами (плановые проверки в отношении органов местного самоуправления). Также в 2021 году проведено 13 контрольных (надзорных) мероприятий без взаимодействия с контролируемыми лицами, в том числе: 10 мероприятий по контролю за состоянием объектов культурного наследия (4 – в рамках федерального государственного контроля (надзора); 6 – в рамках регионального государственного контроля (надзора); 3 мероприятия по систематическому наблюдению в соответствии со статьей 11 Федерального закона № 73-ФЗ (все в рамках регионального государственного контроля (надзора); 1 мероприятие по выездному обследованию (в рамках федерального государственного контроля (надзора). Утверждена 1 программа проверки по контролю за проведением работ по сохранению объекта культурного наследия (по федеральному государственному контролю (надзору).</w:t>
      </w:r>
    </w:p>
    <w:p>
      <w:pPr>
        <w:pStyle w:val="Style20"/>
        <w:rPr/>
      </w:pPr>
      <w:r>
        <w:rPr/>
      </w:r>
    </w:p>
    <w:p>
      <w:pPr>
        <w:pStyle w:val="Style20"/>
        <w:ind w:hanging="0"/>
        <w:jc w:val="center"/>
        <w:rPr>
          <w:b/>
          <w:b/>
        </w:rPr>
      </w:pPr>
      <w:r>
        <w:rPr>
          <w:b/>
        </w:rPr>
        <w:t>3. Производство по делам об административных правонарушениях</w:t>
      </w:r>
    </w:p>
    <w:p>
      <w:pPr>
        <w:pStyle w:val="Style20"/>
        <w:ind w:hanging="0"/>
        <w:rPr/>
      </w:pPr>
      <w:r>
        <w:rPr/>
      </w:r>
    </w:p>
    <w:p>
      <w:pPr>
        <w:pStyle w:val="Style20"/>
        <w:ind w:firstLine="709"/>
        <w:rPr>
          <w:shd w:fill="auto" w:val="clear"/>
        </w:rPr>
      </w:pPr>
      <w:r>
        <w:rPr>
          <w:shd w:fill="auto" w:val="clear"/>
        </w:rPr>
        <w:t>За 2021 год Комитетом возбуждено 14 дел об административных правонарушениях (в 2020 году – 30).</w:t>
      </w:r>
      <w:bookmarkStart w:id="0" w:name="_GoBack"/>
      <w:bookmarkEnd w:id="0"/>
    </w:p>
    <w:p>
      <w:pPr>
        <w:pStyle w:val="Style20"/>
        <w:rPr/>
      </w:pPr>
      <w:r>
        <w:rPr/>
      </w:r>
    </w:p>
    <w:tbl>
      <w:tblPr>
        <w:tblStyle w:val="af4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43"/>
        <w:gridCol w:w="4642"/>
      </w:tblGrid>
      <w:tr>
        <w:trPr/>
        <w:tc>
          <w:tcPr>
            <w:tcW w:w="4643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Статьи КоАП РФ</w:t>
            </w:r>
          </w:p>
        </w:tc>
        <w:tc>
          <w:tcPr>
            <w:tcW w:w="4642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Количество дел об административных правонарушениях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Часть 1 статьи 7.13.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Нарушение требований законодательства об охране объектов культурного наследия (памятников истории и культуры) народов Российской Федерации, нарушение режима использования земель в границах территорий  объектов культурного наследия либо несоблюдение ограничений, установленных в границах зон охраны объектов культурного наследия</w:t>
            </w:r>
          </w:p>
        </w:tc>
        <w:tc>
          <w:tcPr>
            <w:tcW w:w="4642" w:type="dxa"/>
            <w:tcBorders/>
            <w:vAlign w:val="center"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val="ru-RU" w:eastAsia="ar-SA" w:bidi="ar-SA"/>
              </w:rPr>
              <w:t>9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(64,3%)</w:t>
            </w:r>
          </w:p>
        </w:tc>
      </w:tr>
      <w:tr>
        <w:trPr/>
        <w:tc>
          <w:tcPr>
            <w:tcW w:w="4643" w:type="dxa"/>
            <w:tcBorders>
              <w:top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Статья 7.14.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Организация или проведение земляных, строительных или иных работ без разрешения органа, осуществляющего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</w:t>
            </w:r>
          </w:p>
        </w:tc>
        <w:tc>
          <w:tcPr>
            <w:tcW w:w="4642" w:type="dxa"/>
            <w:tcBorders>
              <w:top w:val="nil"/>
            </w:tcBorders>
            <w:vAlign w:val="center"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(7,14%)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Часть 3 статьи 7.14.1.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Уничтожение или повреждение объектов, составляющих предмет охраны исторического поселения</w:t>
            </w:r>
          </w:p>
        </w:tc>
        <w:tc>
          <w:tcPr>
            <w:tcW w:w="4642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(7,14%)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Часть 18 статьи 19.5.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Невыполнение в установленный срок законного предписания органа, уполномоченного осуществлять государственный контроль в области сохранения, использования, популяризации и государственной охраны объектов культурного наследия</w:t>
            </w:r>
          </w:p>
        </w:tc>
        <w:tc>
          <w:tcPr>
            <w:tcW w:w="4642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val="ru-RU" w:eastAsia="ar-SA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bidi="ar-SA"/>
              </w:rPr>
              <w:t xml:space="preserve"> (21,4%)</w:t>
            </w:r>
          </w:p>
        </w:tc>
      </w:tr>
    </w:tbl>
    <w:p>
      <w:pPr>
        <w:pStyle w:val="Style20"/>
        <w:ind w:hanging="0"/>
        <w:rPr/>
      </w:pPr>
      <w:r>
        <w:rPr/>
      </w:r>
    </w:p>
    <w:p>
      <w:pPr>
        <w:pStyle w:val="Style20"/>
        <w:ind w:firstLine="709"/>
        <w:rPr/>
      </w:pPr>
      <w:r>
        <w:rPr/>
        <w:t>Как следует из приведенной таблицы, большая часть дел об административных правонарушениях составляют дела, фактам нарушений требований законодательства об объектах культурного наследия (статья 7.13 КоАП РФ) В 20</w:t>
      </w:r>
      <w:r>
        <w:rPr>
          <w:sz w:val="28"/>
          <w:szCs w:val="20"/>
          <w:lang w:eastAsia="ar-SA"/>
        </w:rPr>
        <w:t>20</w:t>
      </w:r>
      <w:r>
        <w:rPr/>
        <w:t xml:space="preserve"> году дела по указанной статье составляли более </w:t>
      </w:r>
      <w:r>
        <w:rPr>
          <w:sz w:val="28"/>
          <w:szCs w:val="20"/>
          <w:lang w:eastAsia="ar-SA"/>
        </w:rPr>
        <w:t>57</w:t>
      </w:r>
      <w:r>
        <w:rPr/>
        <w:t>% всех дел.</w:t>
      </w:r>
    </w:p>
    <w:p>
      <w:pPr>
        <w:pStyle w:val="Style20"/>
        <w:rPr/>
      </w:pPr>
      <w:r>
        <w:rPr/>
        <w:t xml:space="preserve">По выявленным в 2021 году нарушениям законодательства в области охраны объектов культурного наследия назначено штрафов на общую сумму </w:t>
      </w:r>
      <w:r>
        <w:rPr>
          <w:sz w:val="28"/>
          <w:szCs w:val="20"/>
          <w:lang w:eastAsia="ar-SA"/>
        </w:rPr>
        <w:t>160 000</w:t>
      </w:r>
      <w:r>
        <w:rPr/>
        <w:t xml:space="preserve"> руб. Сумма штрафов в 2020 году составила </w:t>
      </w:r>
      <w:r>
        <w:rPr>
          <w:sz w:val="28"/>
          <w:szCs w:val="20"/>
          <w:lang w:eastAsia="ar-SA"/>
        </w:rPr>
        <w:t>769 000</w:t>
      </w:r>
      <w:r>
        <w:rPr/>
        <w:t xml:space="preserve"> рублей.</w:t>
      </w:r>
    </w:p>
    <w:p>
      <w:pPr>
        <w:pStyle w:val="Style20"/>
        <w:rPr/>
      </w:pPr>
      <w:r>
        <w:rPr/>
      </w:r>
    </w:p>
    <w:p>
      <w:pPr>
        <w:pStyle w:val="Style20"/>
        <w:ind w:hanging="0"/>
        <w:jc w:val="center"/>
        <w:rPr>
          <w:b/>
          <w:b/>
        </w:rPr>
      </w:pPr>
      <w:r>
        <w:rPr>
          <w:b/>
        </w:rPr>
        <w:t>4. Анализ правоприменительной практики и контрольно-надзорной деятельности Комитета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Как следует из статистических данных контрольно-надзорной деятельности Комитета за 2021 год, большинство дел об административных правонарушениях возбуждались по фактам проведения работ на объектах культурного наследия, в зонах охраны объектов культурного наследия без согласования с органом охраны, а также непринятия мер к надлежащему содержанию и сохранению объектов культурного наследия, нарушения проектными организациями требований федерального законодательства об объектах культурного наследия. </w:t>
      </w:r>
    </w:p>
    <w:p>
      <w:pPr>
        <w:pStyle w:val="Style20"/>
        <w:rPr/>
      </w:pPr>
      <w:r>
        <w:rPr/>
        <w:t>Среди причин совершения таких правонарушений, следует считать все еще низкий уровень знаний собственниками или иными законными владельцами объектов культурного наследия, земельных участков требований законодательства об охране объектов культурного наследия, а также необходимость значительных финансовых затрат на принятие необходимых мер, в том числе по сохранению объектов культурного наследия и устранение допущенных нарушений.</w:t>
      </w:r>
    </w:p>
    <w:p>
      <w:pPr>
        <w:pStyle w:val="Style20"/>
        <w:rPr>
          <w:szCs w:val="28"/>
          <w:u w:val="single"/>
        </w:rPr>
      </w:pPr>
      <w:r>
        <w:rPr/>
        <w:t xml:space="preserve">При анализе основных причин совершения нарушений в отношении объектов культурного наследия отмечается нежелание собственников объектов культурного наследия финансировать проведение работ по их сохранению, игнорирование требований предписаний об устранении выявленных нарушений. Кроме того, другими причинами являются:отсутствие финансирования проведения работ по сохранению  объектов культурного наследия (в основном у организаций, финансируемых из бюджетов); низкий уровень знаний собственниками или иными законными владельцами объектов культурного наследия требований законодательства об их охране. В целях недопущения нарушений обязательных требований законодательства об объектах культурного наследия собственникам и иным законным владельцам объектов культурного наследия рекомендуется проявлять должную  степень внимательности и осмотрительности при приобретении и владении объектом культурного наследия путем получения информации об историко-культурной ценности объекта культурного наследия на сайте </w:t>
      </w:r>
      <w:r>
        <w:rPr>
          <w:sz w:val="28"/>
          <w:szCs w:val="20"/>
          <w:lang w:eastAsia="ar-SA"/>
        </w:rPr>
        <w:t>Комитета</w:t>
      </w:r>
      <w:r>
        <w:rPr/>
        <w:t xml:space="preserve"> и в открытых официальных источниках, а также об особенностях владения объектом культурного наследия, порядке проведения работ по его сохранению,в том числе путем подачи официального обращения в </w:t>
      </w:r>
      <w:r>
        <w:rPr>
          <w:sz w:val="28"/>
          <w:szCs w:val="20"/>
          <w:lang w:eastAsia="ar-SA"/>
        </w:rPr>
        <w:t>Комитет.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Комитетом: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 на официальном сайте Перечень актов, содержащих обязательные требования, соблюдение которых оценивается при осуществлении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наследия. Перечень со ссылками на соответствующие нормативные правовые акты размещен на официальном сайте Комитета (http://nasledie.ivanovoobl.ru) во вкладке «Надзорная деятельность»;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в рамках проводимых надзорных мероприятий должностными лицами Комитета оказывается юридическим лицам и индивидуальным предпринимателям методическая помощь, даются консультации, разъясняются требования законодательства.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 обеспечено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706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link w:val="10"/>
    <w:uiPriority w:val="9"/>
    <w:qFormat/>
    <w:rsid w:val="008e4b38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8e4b38"/>
    <w:pPr>
      <w:suppressAutoHyphens w:val="false"/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uiPriority w:val="9"/>
    <w:qFormat/>
    <w:rsid w:val="008e4b38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21" w:customStyle="1">
    <w:name w:val="Заголовок 2 Знак"/>
    <w:link w:val="2"/>
    <w:uiPriority w:val="9"/>
    <w:qFormat/>
    <w:rsid w:val="008e4b38"/>
    <w:rPr>
      <w:b/>
      <w:bCs/>
      <w:sz w:val="36"/>
      <w:szCs w:val="36"/>
    </w:rPr>
  </w:style>
  <w:style w:type="character" w:styleId="AbsatzStandardschriftart" w:customStyle="1">
    <w:name w:val="Absatz-Standardschriftart"/>
    <w:qFormat/>
    <w:rsid w:val="00c77065"/>
    <w:rPr/>
  </w:style>
  <w:style w:type="character" w:styleId="WWAbsatzStandardschriftart" w:customStyle="1">
    <w:name w:val="WW-Absatz-Standardschriftart"/>
    <w:qFormat/>
    <w:rsid w:val="00c77065"/>
    <w:rPr/>
  </w:style>
  <w:style w:type="character" w:styleId="WWAbsatzStandardschriftart1" w:customStyle="1">
    <w:name w:val="WW-Absatz-Standardschriftart1"/>
    <w:qFormat/>
    <w:rsid w:val="00c77065"/>
    <w:rPr/>
  </w:style>
  <w:style w:type="character" w:styleId="WWAbsatzStandardschriftart11" w:customStyle="1">
    <w:name w:val="WW-Absatz-Standardschriftart11"/>
    <w:qFormat/>
    <w:rsid w:val="00c77065"/>
    <w:rPr/>
  </w:style>
  <w:style w:type="character" w:styleId="WWAbsatzStandardschriftart111" w:customStyle="1">
    <w:name w:val="WW-Absatz-Standardschriftart111"/>
    <w:qFormat/>
    <w:rsid w:val="00c77065"/>
    <w:rPr/>
  </w:style>
  <w:style w:type="character" w:styleId="WWAbsatzStandardschriftart1111" w:customStyle="1">
    <w:name w:val="WW-Absatz-Standardschriftart1111"/>
    <w:qFormat/>
    <w:rsid w:val="00c77065"/>
    <w:rPr/>
  </w:style>
  <w:style w:type="character" w:styleId="WWAbsatzStandardschriftart11111" w:customStyle="1">
    <w:name w:val="WW-Absatz-Standardschriftart11111"/>
    <w:qFormat/>
    <w:rsid w:val="00c77065"/>
    <w:rPr/>
  </w:style>
  <w:style w:type="character" w:styleId="WWAbsatzStandardschriftart111111" w:customStyle="1">
    <w:name w:val="WW-Absatz-Standardschriftart111111"/>
    <w:qFormat/>
    <w:rsid w:val="00c77065"/>
    <w:rPr/>
  </w:style>
  <w:style w:type="character" w:styleId="WWAbsatzStandardschriftart1111111" w:customStyle="1">
    <w:name w:val="WW-Absatz-Standardschriftart1111111"/>
    <w:qFormat/>
    <w:rsid w:val="00c77065"/>
    <w:rPr/>
  </w:style>
  <w:style w:type="character" w:styleId="WW8Num2z0" w:customStyle="1">
    <w:name w:val="WW8Num2z0"/>
    <w:qFormat/>
    <w:rsid w:val="00c77065"/>
    <w:rPr>
      <w:rFonts w:ascii="Times New Roman" w:hAnsi="Times New Roman" w:eastAsia="Times New Roman" w:cs="Times New Roman"/>
      <w:sz w:val="24"/>
    </w:rPr>
  </w:style>
  <w:style w:type="character" w:styleId="12" w:customStyle="1">
    <w:name w:val="Основной шрифт абзаца1"/>
    <w:qFormat/>
    <w:rsid w:val="00c77065"/>
    <w:rPr/>
  </w:style>
  <w:style w:type="character" w:styleId="Style12" w:customStyle="1">
    <w:name w:val="Основной текст с отступом Знак"/>
    <w:qFormat/>
    <w:rsid w:val="00c77065"/>
    <w:rPr>
      <w:sz w:val="28"/>
    </w:rPr>
  </w:style>
  <w:style w:type="character" w:styleId="Style13" w:customStyle="1">
    <w:name w:val="Текст выноски Знак"/>
    <w:qFormat/>
    <w:rsid w:val="00c77065"/>
    <w:rPr>
      <w:rFonts w:ascii="Tahoma" w:hAnsi="Tahoma" w:cs="Tahoma"/>
      <w:sz w:val="16"/>
      <w:szCs w:val="16"/>
    </w:rPr>
  </w:style>
  <w:style w:type="character" w:styleId="Style14">
    <w:name w:val="Интернет-ссылка"/>
    <w:uiPriority w:val="99"/>
    <w:unhideWhenUsed/>
    <w:rsid w:val="008e4b38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c7706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rsid w:val="00c77065"/>
    <w:pPr/>
    <w:rPr>
      <w:sz w:val="44"/>
      <w:szCs w:val="20"/>
    </w:rPr>
  </w:style>
  <w:style w:type="paragraph" w:styleId="Style17">
    <w:name w:val="List"/>
    <w:basedOn w:val="Style16"/>
    <w:rsid w:val="00c77065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Название1"/>
    <w:basedOn w:val="Normal"/>
    <w:qFormat/>
    <w:rsid w:val="00c77065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c77065"/>
    <w:pPr>
      <w:suppressLineNumbers/>
    </w:pPr>
    <w:rPr>
      <w:rFonts w:cs="Mangal"/>
    </w:rPr>
  </w:style>
  <w:style w:type="paragraph" w:styleId="Style20">
    <w:name w:val="Body Text Indent"/>
    <w:basedOn w:val="Normal"/>
    <w:rsid w:val="00c77065"/>
    <w:pPr>
      <w:ind w:firstLine="720"/>
      <w:jc w:val="both"/>
    </w:pPr>
    <w:rPr>
      <w:sz w:val="28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c77065"/>
    <w:pPr/>
    <w:rPr>
      <w:sz w:val="20"/>
      <w:szCs w:val="20"/>
    </w:rPr>
  </w:style>
  <w:style w:type="paragraph" w:styleId="Style23">
    <w:name w:val="Header"/>
    <w:basedOn w:val="Normal"/>
    <w:rsid w:val="00c77065"/>
    <w:pPr/>
    <w:rPr/>
  </w:style>
  <w:style w:type="paragraph" w:styleId="BalloonText">
    <w:name w:val="Balloon Text"/>
    <w:basedOn w:val="Normal"/>
    <w:qFormat/>
    <w:rsid w:val="00c77065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065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c77065"/>
    <w:pPr>
      <w:spacing w:before="280" w:after="280"/>
    </w:pPr>
    <w:rPr/>
  </w:style>
  <w:style w:type="paragraph" w:styleId="ConsPlusNormal" w:customStyle="1">
    <w:name w:val="ConsPlusNormal"/>
    <w:qFormat/>
    <w:rsid w:val="00c7706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ar-SA" w:bidi="ar-SA"/>
    </w:rPr>
  </w:style>
  <w:style w:type="paragraph" w:styleId="ConsPlusTitle" w:customStyle="1">
    <w:name w:val="ConsPlusTitle"/>
    <w:basedOn w:val="Normal"/>
    <w:next w:val="Normal"/>
    <w:qFormat/>
    <w:rsid w:val="00c77065"/>
    <w:pPr>
      <w:widowControl w:val="false"/>
    </w:pPr>
    <w:rPr>
      <w:rFonts w:ascii="Arial" w:hAnsi="Arial" w:eastAsia="Arial" w:cs="Arial"/>
      <w:b/>
      <w:bCs/>
      <w:sz w:val="20"/>
      <w:szCs w:val="20"/>
      <w:lang w:eastAsia="ru-RU" w:bidi="ru-RU"/>
    </w:rPr>
  </w:style>
  <w:style w:type="paragraph" w:styleId="Style24" w:customStyle="1">
    <w:name w:val="Содержимое таблицы"/>
    <w:basedOn w:val="Normal"/>
    <w:qFormat/>
    <w:rsid w:val="00c77065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c77065"/>
    <w:pPr>
      <w:jc w:val="center"/>
    </w:pPr>
    <w:rPr>
      <w:b/>
      <w:bCs/>
    </w:rPr>
  </w:style>
  <w:style w:type="paragraph" w:styleId="Style26" w:customStyle="1">
    <w:name w:val="Таблица Центр"/>
    <w:basedOn w:val="Normal"/>
    <w:autoRedefine/>
    <w:qFormat/>
    <w:rsid w:val="00095fc5"/>
    <w:pPr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lang w:eastAsia="ru-RU"/>
    </w:rPr>
  </w:style>
  <w:style w:type="paragraph" w:styleId="Style27" w:customStyle="1">
    <w:name w:val="табличный"/>
    <w:basedOn w:val="Normal"/>
    <w:qFormat/>
    <w:rsid w:val="00a742ac"/>
    <w:pPr>
      <w:numPr>
        <w:ilvl w:val="0"/>
        <w:numId w:val="1"/>
      </w:numPr>
      <w:suppressAutoHyphens w:val="false"/>
    </w:pPr>
    <w:rPr>
      <w:rFonts w:ascii="Arial" w:hAnsi="Arial" w:cs="Arial"/>
      <w:sz w:val="18"/>
      <w:szCs w:val="20"/>
      <w:lang w:eastAsia="ru-RU"/>
    </w:rPr>
  </w:style>
  <w:style w:type="paragraph" w:styleId="22" w:customStyle="1">
    <w:name w:val="табличный2"/>
    <w:basedOn w:val="Style27"/>
    <w:qFormat/>
    <w:rsid w:val="00a742ac"/>
    <w:pPr>
      <w:numPr>
        <w:ilvl w:val="0"/>
        <w:numId w:val="0"/>
      </w:numPr>
      <w:jc w:val="center"/>
    </w:pPr>
    <w:rPr/>
  </w:style>
  <w:style w:type="paragraph" w:styleId="15" w:customStyle="1">
    <w:name w:val="Абзац списка1"/>
    <w:basedOn w:val="Normal"/>
    <w:qFormat/>
    <w:rsid w:val="00a742ac"/>
    <w:pPr>
      <w:suppressAutoHyphens w:val="false"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e97f0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2"/>
    <w:uiPriority w:val="59"/>
    <w:rsid w:val="00f67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7659-7E14-462F-8CFE-C3C7B8CA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LibreOffice/7.0.6.2$Linux_X86_64 LibreOffice_project/00$Build-2</Application>
  <AppVersion>15.0000</AppVersion>
  <Pages>5</Pages>
  <Words>1126</Words>
  <Characters>8903</Characters>
  <CharactersWithSpaces>10006</CharactersWithSpaces>
  <Paragraphs>36</Paragraphs>
  <Company>Департамент культуры Ивановской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2022-03-02T11:49:00Z</dcterms:created>
  <dc:creator>bakvv</dc:creator>
  <dc:description/>
  <dc:language>ru-RU</dc:language>
  <cp:lastModifiedBy/>
  <cp:lastPrinted>2021-03-31T08:45:00Z</cp:lastPrinted>
  <dcterms:modified xsi:type="dcterms:W3CDTF">2022-03-04T09:22:28Z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