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firstLine="709"/>
        <w:contextualSpacing/>
        <w:jc w:val="right"/>
        <w:rPr>
          <w:rFonts w:ascii="Times New Roman" w:hAnsi="Times New Roman" w:eastAsia="Times New Roman" w:cs="Times New Roman"/>
          <w:b/>
          <w:b/>
          <w:color w:val="auto"/>
          <w:kern w:val="0"/>
          <w:sz w:val="28"/>
          <w:szCs w:val="28"/>
          <w:shd w:fill="auto" w:val="clear"/>
          <w:lang w:val="ru-RU" w:eastAsia="ar-SA" w:bidi="ar-SA"/>
        </w:rPr>
      </w:pPr>
      <w:r>
        <w:rPr>
          <w:rFonts w:eastAsia="Times New Roman" w:cs="Times New Roman"/>
          <w:b/>
          <w:color w:val="000000"/>
          <w:kern w:val="0"/>
          <w:sz w:val="28"/>
          <w:szCs w:val="28"/>
          <w:shd w:fill="auto" w:val="clear"/>
          <w:lang w:val="ru-RU" w:eastAsia="ar-SA" w:bidi="ar-SA"/>
        </w:rPr>
        <w:t>ПРОЕКТ</w:t>
      </w:r>
    </w:p>
    <w:p>
      <w:pPr>
        <w:pStyle w:val="Normal"/>
        <w:spacing w:before="0" w:after="0"/>
        <w:ind w:firstLine="709"/>
        <w:contextualSpacing/>
        <w:jc w:val="right"/>
        <w:rPr>
          <w:rFonts w:ascii="Times New Roman" w:hAnsi="Times New Roman" w:eastAsia="Times New Roman" w:cs="Times New Roman"/>
          <w:b/>
          <w:b/>
          <w:color w:val="auto"/>
          <w:kern w:val="0"/>
          <w:sz w:val="28"/>
          <w:szCs w:val="28"/>
          <w:highlight w:val="yellow"/>
          <w:lang w:val="ru-RU" w:eastAsia="ar-SA" w:bidi="ar-SA"/>
        </w:rPr>
      </w:pPr>
      <w:r>
        <w:rPr>
          <w:rFonts w:eastAsia="Times New Roman" w:cs="Times New Roman"/>
          <w:b/>
          <w:color w:val="auto"/>
          <w:kern w:val="0"/>
          <w:sz w:val="28"/>
          <w:szCs w:val="28"/>
          <w:highlight w:val="yellow"/>
          <w:lang w:val="ru-RU" w:eastAsia="ar-SA" w:bidi="ar-SA"/>
        </w:rPr>
      </w:r>
    </w:p>
    <w:p>
      <w:pPr>
        <w:pStyle w:val="Normal"/>
        <w:spacing w:before="0" w:after="0"/>
        <w:contextualSpacing/>
        <w:jc w:val="center"/>
        <w:rPr>
          <w:b/>
          <w:b/>
          <w:bCs/>
          <w:sz w:val="28"/>
          <w:szCs w:val="28"/>
        </w:rPr>
      </w:pPr>
      <w:r>
        <w:rPr>
          <w:b/>
          <w:sz w:val="28"/>
          <w:szCs w:val="28"/>
        </w:rPr>
        <w:t>Доклад о правоприменительной практике осуществления комитетом Ивановской области по государственной охране объектов культурного наследия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государственного контроля (надзора) за состоянием, содержанием, сохранением, использованием, популяризацией и государственной охраной объектов культурного наследия</w:t>
      </w:r>
    </w:p>
    <w:p>
      <w:pPr>
        <w:pStyle w:val="Normal"/>
        <w:spacing w:before="0" w:after="0"/>
        <w:contextualSpacing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за 2021 год</w:t>
      </w:r>
    </w:p>
    <w:p>
      <w:pPr>
        <w:pStyle w:val="Normal"/>
        <w:spacing w:before="0" w:after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0"/>
        <w:numPr>
          <w:ilvl w:val="0"/>
          <w:numId w:val="2"/>
        </w:numPr>
        <w:tabs>
          <w:tab w:val="clear" w:pos="708"/>
          <w:tab w:val="left" w:pos="284" w:leader="none"/>
        </w:tabs>
        <w:ind w:left="0" w:hanging="0"/>
        <w:jc w:val="center"/>
        <w:rPr>
          <w:b/>
          <w:b/>
        </w:rPr>
      </w:pPr>
      <w:r>
        <w:rPr>
          <w:b/>
        </w:rPr>
        <w:t>Организация осуществления государственного надзора в области охраны объектов культурного наследия</w:t>
      </w:r>
    </w:p>
    <w:p>
      <w:pPr>
        <w:pStyle w:val="Style20"/>
        <w:tabs>
          <w:tab w:val="clear" w:pos="708"/>
          <w:tab w:val="left" w:pos="284" w:leader="none"/>
        </w:tabs>
        <w:ind w:hanging="0"/>
        <w:rPr>
          <w:b/>
          <w:b/>
        </w:rPr>
      </w:pPr>
      <w:r>
        <w:rPr>
          <w:b/>
        </w:rPr>
      </w:r>
    </w:p>
    <w:p>
      <w:pPr>
        <w:pStyle w:val="Style20"/>
        <w:rPr/>
      </w:pPr>
      <w:r>
        <w:rPr/>
        <w:t>Комитет Ивановской области по государственной охране объектов культурного наследия (далее – Комитет) осуществляет государственн</w:t>
      </w:r>
      <w:r>
        <w:rPr/>
        <w:t>ый</w:t>
      </w:r>
      <w:r>
        <w:rPr/>
        <w:t xml:space="preserve"> контрол</w:t>
      </w:r>
      <w:r>
        <w:rPr/>
        <w:t>ь</w:t>
      </w:r>
      <w:r>
        <w:rPr/>
        <w:t xml:space="preserve"> (надзор) за состоянием, содержанием, сохранением, использованием, популяризацией и государственной охраной объектов культурного наследия, </w:t>
      </w:r>
      <w:r>
        <w:rPr/>
        <w:t>в том числе:</w:t>
      </w:r>
    </w:p>
    <w:p>
      <w:pPr>
        <w:pStyle w:val="Style20"/>
        <w:rPr/>
      </w:pPr>
      <w:r>
        <w:rPr/>
        <w:t xml:space="preserve">– </w:t>
      </w:r>
      <w:r>
        <w:rPr/>
        <w:t>региональный государственный контроль (надзор) за состоянием, содержанием, сохранением, использованием, популяризацией и государственной охраной объектов культурного наследия (далее – региональный государственный контроль (надзор);</w:t>
      </w:r>
    </w:p>
    <w:p>
      <w:pPr>
        <w:pStyle w:val="Style20"/>
        <w:rPr/>
      </w:pPr>
      <w:r>
        <w:rPr/>
        <w:t xml:space="preserve">– </w:t>
      </w:r>
      <w:r>
        <w:rPr/>
        <w:t>федеральный государственный контроль (надзор) за состоянием, содержанием, сохранением, использованием, популяризацией и государственной охраной объектов культурного наследия (далее – федеральный государственный контроль (надзор), за исключением отдельных объектов культурного наследия федерального значения, перечень которых устанавливается Правительством Российской Федерации.</w:t>
      </w:r>
    </w:p>
    <w:p>
      <w:pPr>
        <w:pStyle w:val="Style20"/>
        <w:rPr/>
      </w:pPr>
      <w:r>
        <w:rPr/>
        <w:t>До 1 июля 2021 года государственный контроль (надзор) в области охраны объектов культурного наследия осуществлялся согласно Федеральному закону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посредством организации и проведения плановых и внеплановых проверок, а также мероприятий по контролю за состоянием объектов культурного наследия и по систематическому наблюдению в соответствии со статьей 11 Федерального закона от 25.06.2002 № 73-ФЗ «Об объектах культурного наследия (памятниках истории и культуры) народов Российской Федерации» (далее – Федеральный закон № 73-ФЗ).</w:t>
      </w:r>
    </w:p>
    <w:p>
      <w:pPr>
        <w:pStyle w:val="Style20"/>
        <w:rPr/>
      </w:pPr>
      <w:r>
        <w:rPr/>
        <w:t>1 июля 2021 вступил в законную силу Федеральный закон от 31.07.2020 № 248-ФЗ «О государственном контроле (надзоре) и муниципальном контроле в Российской Федерации» (далее – Федеральный закон № 248-ФЗ), в соответствии с которым государственный контроль (надзор) в области охраны объектов культурного наследия осуществляется посредством инспекционных визитов, рейдовых осмотров, документарных и выездных проверок, контрольных (надзорных) мероприятий без взаимодействия с контролируемыми лицами в форме наблюдения за соблюдением обязательных требований (мониторинга безопасности) и выездного обследования.</w:t>
      </w:r>
    </w:p>
    <w:p>
      <w:pPr>
        <w:pStyle w:val="Style20"/>
        <w:rPr/>
      </w:pPr>
      <w:r>
        <w:rPr/>
        <w:t>Согласно статье 11 Федерального закона № 73-ФЗ контрольные (надзорные) мероприятия осуществляются на основании программы проверок, плановые контрольные (надзорные) мероприятия Комитетом не проводятся.</w:t>
      </w:r>
    </w:p>
    <w:p>
      <w:pPr>
        <w:pStyle w:val="Style20"/>
        <w:rPr/>
      </w:pPr>
      <w:r>
        <w:rPr/>
        <w:t>Федеральный государственный контроль (надзор) осуществляется в соответствии с Положением о федеральном государственном контроле (надзоре) за состоянием, содержанием, сохранением, использованием, популяризацией и государственной охраной объектов культурного наследия, утвержденным постановлением Правительства Российской Федерации от 30.06.2021 № 1093.</w:t>
      </w:r>
    </w:p>
    <w:p>
      <w:pPr>
        <w:pStyle w:val="Style20"/>
        <w:rPr/>
      </w:pPr>
      <w:r>
        <w:rPr/>
        <w:t>Региональный государственный контроль (надзор) осуществляется в соответствии с Положением о региональном государственном контроле (надзоре) за состоянием, содержанием, сохранением, использованием, популяризацией и государственной охраной объектов культурного наследия, утвержденным постановлением Правительства Ивановской области от 13.12.2021 № 607-п.</w:t>
      </w:r>
    </w:p>
    <w:p>
      <w:pPr>
        <w:pStyle w:val="Style20"/>
        <w:ind w:hanging="0"/>
        <w:rPr/>
      </w:pPr>
      <w:r>
        <w:rPr/>
      </w:r>
    </w:p>
    <w:p>
      <w:pPr>
        <w:pStyle w:val="Style20"/>
        <w:ind w:hanging="0"/>
        <w:jc w:val="center"/>
        <w:rPr>
          <w:b/>
          <w:b/>
        </w:rPr>
      </w:pPr>
      <w:r>
        <w:rPr>
          <w:b/>
        </w:rPr>
        <w:t>2. Осуществление государственного контроля (надзора) в области охраны объектов культурного наследия</w:t>
      </w:r>
    </w:p>
    <w:p>
      <w:pPr>
        <w:pStyle w:val="Style20"/>
        <w:ind w:hanging="0"/>
        <w:jc w:val="center"/>
        <w:rPr/>
      </w:pPr>
      <w:r>
        <w:rPr/>
      </w:r>
    </w:p>
    <w:p>
      <w:pPr>
        <w:pStyle w:val="Style20"/>
        <w:rPr/>
      </w:pPr>
      <w:r>
        <w:rPr/>
        <w:t>Комитетом в 2021 году проведено 4 контрольных (надзорных) мероприятий с взаимодействием с контролируемыми лицами (плановые проверки в отношении органов местного самоуправления). Также в 2021 году проведено 13 контрольных (надзорных) мероприятий без взаимодействия с контролируемыми лицами, в том числе: 10 мероприятий по контролю за состоянием объектов культурного наследия (4 – в рамках федерального государственного контроля (надзора); 6 – в рамках регионального государственного контроля (надзора); 3 мероприятия по систематическому наблюдению в соответствии со статьей 11 Федерального закона № 73-ФЗ (все в рамках регионального государственного контроля (надзора); 1 мероприятие по выездному обследованию (в рамках федерального государственного контроля (надзора). Утверждена 1 программа проверки по контролю за проведением работ по сохранению объекта культурного наследия (по федеральному государственному контролю (надзору).</w:t>
      </w:r>
    </w:p>
    <w:p>
      <w:pPr>
        <w:pStyle w:val="Style20"/>
        <w:rPr/>
      </w:pPr>
      <w:r>
        <w:rPr/>
      </w:r>
    </w:p>
    <w:p>
      <w:pPr>
        <w:pStyle w:val="Style20"/>
        <w:ind w:hanging="0"/>
        <w:jc w:val="center"/>
        <w:rPr>
          <w:b/>
          <w:b/>
        </w:rPr>
      </w:pPr>
      <w:r>
        <w:rPr>
          <w:b/>
        </w:rPr>
        <w:t>3. Производство по делам об административных правонарушениях</w:t>
      </w:r>
    </w:p>
    <w:p>
      <w:pPr>
        <w:pStyle w:val="Style20"/>
        <w:ind w:hanging="0"/>
        <w:rPr/>
      </w:pPr>
      <w:r>
        <w:rPr/>
      </w:r>
    </w:p>
    <w:p>
      <w:pPr>
        <w:pStyle w:val="Style20"/>
        <w:ind w:firstLine="709"/>
        <w:rPr>
          <w:shd w:fill="auto" w:val="clear"/>
        </w:rPr>
      </w:pPr>
      <w:r>
        <w:rPr>
          <w:shd w:fill="auto" w:val="clear"/>
        </w:rPr>
        <w:t>За 2021 год Комитетом возбуждено 14 дел об административных правонарушениях (в 2020 году – 30).</w:t>
      </w:r>
      <w:bookmarkStart w:id="0" w:name="_GoBack"/>
      <w:bookmarkEnd w:id="0"/>
    </w:p>
    <w:p>
      <w:pPr>
        <w:pStyle w:val="Style20"/>
        <w:rPr/>
      </w:pPr>
      <w:r>
        <w:rPr/>
      </w:r>
    </w:p>
    <w:tbl>
      <w:tblPr>
        <w:tblStyle w:val="af4"/>
        <w:tblW w:w="928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643"/>
        <w:gridCol w:w="4642"/>
      </w:tblGrid>
      <w:tr>
        <w:trPr/>
        <w:tc>
          <w:tcPr>
            <w:tcW w:w="4643" w:type="dxa"/>
            <w:tcBorders/>
          </w:tcPr>
          <w:p>
            <w:pPr>
              <w:pStyle w:val="Style20"/>
              <w:widowControl w:val="false"/>
              <w:spacing w:before="0" w:after="0"/>
              <w:ind w:hanging="0"/>
              <w:jc w:val="center"/>
              <w:rPr>
                <w:b/>
                <w:b/>
              </w:rPr>
            </w:pPr>
            <w:r>
              <w:rPr>
                <w:rFonts w:eastAsia="Times New Roman" w:cs="Times New Roman"/>
                <w:b/>
                <w:kern w:val="0"/>
                <w:lang w:val="ru-RU" w:bidi="ar-SA"/>
              </w:rPr>
              <w:t>Статьи КоАП РФ</w:t>
            </w:r>
          </w:p>
        </w:tc>
        <w:tc>
          <w:tcPr>
            <w:tcW w:w="4642" w:type="dxa"/>
            <w:tcBorders/>
          </w:tcPr>
          <w:p>
            <w:pPr>
              <w:pStyle w:val="Style20"/>
              <w:widowControl w:val="false"/>
              <w:spacing w:before="0" w:after="0"/>
              <w:ind w:hanging="0"/>
              <w:jc w:val="center"/>
              <w:rPr>
                <w:b/>
                <w:b/>
              </w:rPr>
            </w:pPr>
            <w:r>
              <w:rPr>
                <w:rFonts w:eastAsia="Times New Roman" w:cs="Times New Roman"/>
                <w:b/>
                <w:kern w:val="0"/>
                <w:lang w:val="ru-RU" w:bidi="ar-SA"/>
              </w:rPr>
              <w:t>Количество дел об административных правонарушениях</w:t>
            </w:r>
          </w:p>
        </w:tc>
      </w:tr>
      <w:tr>
        <w:trPr/>
        <w:tc>
          <w:tcPr>
            <w:tcW w:w="4643" w:type="dxa"/>
            <w:tcBorders/>
          </w:tcPr>
          <w:p>
            <w:pPr>
              <w:pStyle w:val="Style20"/>
              <w:widowControl w:val="false"/>
              <w:spacing w:before="0" w:after="0"/>
              <w:ind w:hanging="0"/>
              <w:rPr>
                <w:rFonts w:ascii="Times New Roman" w:hAnsi="Times New Roman" w:eastAsia="Times New Roman" w:cs="Times New Roman"/>
                <w:kern w:val="0"/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lang w:val="ru-RU" w:bidi="ar-SA"/>
              </w:rPr>
              <w:t>Часть 1 статьи 7.13.</w:t>
            </w:r>
            <w:r>
              <w:rPr>
                <w:rFonts w:eastAsia="Times New Roman" w:cs="Times New Roman"/>
                <w:kern w:val="0"/>
                <w:lang w:val="ru-RU" w:bidi="ar-SA"/>
              </w:rPr>
              <w:t xml:space="preserve"> Нарушение требований законодательства об охране объектов культурного наследия (памятников истории и культуры) народов Российской Федерации, нарушение режима использования земель в границах территорий  объектов культурного наследия либо несоблюдение ограничений, установленных в границах зон охраны объектов культурного наследия</w:t>
            </w:r>
          </w:p>
        </w:tc>
        <w:tc>
          <w:tcPr>
            <w:tcW w:w="4642" w:type="dxa"/>
            <w:tcBorders/>
            <w:vAlign w:val="center"/>
          </w:tcPr>
          <w:p>
            <w:pPr>
              <w:pStyle w:val="Style20"/>
              <w:widowControl w:val="fals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0"/>
                <w:lang w:val="ru-RU" w:eastAsia="ar-SA" w:bidi="ar-SA"/>
              </w:rPr>
              <w:t>9</w:t>
            </w:r>
            <w:r>
              <w:rPr>
                <w:rFonts w:eastAsia="Times New Roman" w:cs="Times New Roman"/>
                <w:kern w:val="0"/>
                <w:lang w:val="ru-RU" w:bidi="ar-SA"/>
              </w:rPr>
              <w:t xml:space="preserve"> (64,3%)</w:t>
            </w:r>
          </w:p>
        </w:tc>
      </w:tr>
      <w:tr>
        <w:trPr/>
        <w:tc>
          <w:tcPr>
            <w:tcW w:w="4643" w:type="dxa"/>
            <w:tcBorders>
              <w:top w:val="nil"/>
            </w:tcBorders>
          </w:tcPr>
          <w:p>
            <w:pPr>
              <w:pStyle w:val="Style20"/>
              <w:widowControl w:val="false"/>
              <w:spacing w:before="0" w:after="0"/>
              <w:ind w:hanging="0"/>
              <w:rPr>
                <w:rFonts w:ascii="Times New Roman" w:hAnsi="Times New Roman" w:eastAsia="Times New Roman" w:cs="Times New Roman"/>
                <w:kern w:val="0"/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lang w:val="ru-RU" w:bidi="ar-SA"/>
              </w:rPr>
              <w:t>Статья 7.14.</w:t>
            </w:r>
            <w:r>
              <w:rPr>
                <w:rFonts w:eastAsia="Times New Roman" w:cs="Times New Roman"/>
                <w:kern w:val="0"/>
                <w:lang w:val="ru-RU" w:bidi="ar-SA"/>
              </w:rPr>
              <w:t xml:space="preserve"> Организация или проведение земляных, строительных или иных работ без разрешения органа, осуществляющего государственный надзор за состоянием, содержанием, сохранением, использованием, популяризацией и государственной охраной объектов культурного наследия</w:t>
            </w:r>
          </w:p>
        </w:tc>
        <w:tc>
          <w:tcPr>
            <w:tcW w:w="4642" w:type="dxa"/>
            <w:tcBorders>
              <w:top w:val="nil"/>
            </w:tcBorders>
            <w:vAlign w:val="center"/>
          </w:tcPr>
          <w:p>
            <w:pPr>
              <w:pStyle w:val="Style20"/>
              <w:widowControl w:val="fals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lang w:val="ru-RU" w:bidi="ar-SA"/>
              </w:rPr>
              <w:t>1</w:t>
            </w:r>
            <w:r>
              <w:rPr>
                <w:rFonts w:eastAsia="Times New Roman" w:cs="Times New Roman"/>
                <w:kern w:val="0"/>
                <w:lang w:val="ru-RU" w:bidi="ar-SA"/>
              </w:rPr>
              <w:t xml:space="preserve"> (7,14%)</w:t>
            </w:r>
          </w:p>
        </w:tc>
      </w:tr>
      <w:tr>
        <w:trPr/>
        <w:tc>
          <w:tcPr>
            <w:tcW w:w="4643" w:type="dxa"/>
            <w:tcBorders/>
          </w:tcPr>
          <w:p>
            <w:pPr>
              <w:pStyle w:val="Style20"/>
              <w:widowControl w:val="false"/>
              <w:spacing w:before="0" w:after="0"/>
              <w:ind w:hanging="0"/>
              <w:rPr>
                <w:rFonts w:ascii="Times New Roman" w:hAnsi="Times New Roman" w:eastAsia="Times New Roman" w:cs="Times New Roman"/>
                <w:kern w:val="0"/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lang w:val="ru-RU" w:bidi="ar-SA"/>
              </w:rPr>
              <w:t>Часть 3 статьи 7.14.1.</w:t>
            </w:r>
            <w:r>
              <w:rPr>
                <w:rFonts w:eastAsia="Times New Roman" w:cs="Times New Roman"/>
                <w:kern w:val="0"/>
                <w:lang w:val="ru-RU" w:bidi="ar-SA"/>
              </w:rPr>
              <w:t xml:space="preserve"> Уничтожение или повреждение объектов, составляющих предмет охраны исторического поселения</w:t>
            </w:r>
          </w:p>
        </w:tc>
        <w:tc>
          <w:tcPr>
            <w:tcW w:w="4642" w:type="dxa"/>
            <w:tcBorders/>
          </w:tcPr>
          <w:p>
            <w:pPr>
              <w:pStyle w:val="Style20"/>
              <w:widowControl w:val="fals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lang w:val="ru-RU" w:bidi="ar-SA"/>
              </w:rPr>
              <w:t>1</w:t>
            </w:r>
            <w:r>
              <w:rPr>
                <w:rFonts w:eastAsia="Times New Roman" w:cs="Times New Roman"/>
                <w:kern w:val="0"/>
                <w:lang w:val="ru-RU" w:bidi="ar-SA"/>
              </w:rPr>
              <w:t xml:space="preserve"> (7,14%)</w:t>
            </w:r>
          </w:p>
        </w:tc>
      </w:tr>
      <w:tr>
        <w:trPr/>
        <w:tc>
          <w:tcPr>
            <w:tcW w:w="4643" w:type="dxa"/>
            <w:tcBorders/>
          </w:tcPr>
          <w:p>
            <w:pPr>
              <w:pStyle w:val="Style20"/>
              <w:widowControl w:val="false"/>
              <w:spacing w:before="0" w:after="0"/>
              <w:ind w:hanging="0"/>
              <w:rPr>
                <w:rFonts w:ascii="Times New Roman" w:hAnsi="Times New Roman" w:eastAsia="Times New Roman" w:cs="Times New Roman"/>
                <w:kern w:val="0"/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lang w:val="ru-RU" w:bidi="ar-SA"/>
              </w:rPr>
              <w:t>Часть 18 статьи 19.5.</w:t>
            </w:r>
            <w:r>
              <w:rPr>
                <w:rFonts w:eastAsia="Times New Roman" w:cs="Times New Roman"/>
                <w:kern w:val="0"/>
                <w:lang w:val="ru-RU" w:bidi="ar-SA"/>
              </w:rPr>
              <w:t xml:space="preserve"> Невыполнение в установленный срок законного предписания органа, уполномоченного осуществлять государственный контроль в области сохранения, использования, популяризации и государственной охраны объектов культурного наследия</w:t>
            </w:r>
          </w:p>
        </w:tc>
        <w:tc>
          <w:tcPr>
            <w:tcW w:w="4642" w:type="dxa"/>
            <w:tcBorders/>
          </w:tcPr>
          <w:p>
            <w:pPr>
              <w:pStyle w:val="Style20"/>
              <w:widowControl w:val="fals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kern w:val="0"/>
                <w:lang w:val="ru-RU" w:bidi="ar-SA"/>
              </w:rPr>
            </w:pPr>
            <w:r>
              <w:rPr>
                <w:rFonts w:eastAsia="Times New Roman" w:cs="Times New Roman"/>
                <w:b/>
                <w:kern w:val="0"/>
                <w:sz w:val="28"/>
                <w:szCs w:val="20"/>
                <w:lang w:val="ru-RU" w:eastAsia="ar-SA" w:bidi="ar-SA"/>
              </w:rPr>
              <w:t>3</w:t>
            </w:r>
            <w:r>
              <w:rPr>
                <w:rFonts w:eastAsia="Times New Roman" w:cs="Times New Roman"/>
                <w:kern w:val="0"/>
                <w:lang w:val="ru-RU" w:bidi="ar-SA"/>
              </w:rPr>
              <w:t xml:space="preserve"> (21,4%)</w:t>
            </w:r>
          </w:p>
        </w:tc>
      </w:tr>
    </w:tbl>
    <w:p>
      <w:pPr>
        <w:pStyle w:val="Style20"/>
        <w:ind w:hanging="0"/>
        <w:rPr/>
      </w:pPr>
      <w:r>
        <w:rPr/>
      </w:r>
    </w:p>
    <w:p>
      <w:pPr>
        <w:pStyle w:val="Style20"/>
        <w:ind w:firstLine="709"/>
        <w:rPr/>
      </w:pPr>
      <w:r>
        <w:rPr/>
        <w:t>Как следует из приведенной таблицы, большая часть дел об административных правонарушениях составляют дела, фактам нарушений требований законодательства об объектах культурного наследия (статья 7.13 КоАП РФ) В 20</w:t>
      </w:r>
      <w:r>
        <w:rPr>
          <w:sz w:val="28"/>
          <w:szCs w:val="20"/>
          <w:lang w:eastAsia="ar-SA"/>
        </w:rPr>
        <w:t>20</w:t>
      </w:r>
      <w:r>
        <w:rPr/>
        <w:t xml:space="preserve"> году дела по указанной статье составляли более </w:t>
      </w:r>
      <w:r>
        <w:rPr>
          <w:sz w:val="28"/>
          <w:szCs w:val="20"/>
          <w:lang w:eastAsia="ar-SA"/>
        </w:rPr>
        <w:t>57</w:t>
      </w:r>
      <w:r>
        <w:rPr/>
        <w:t>% всех дел.</w:t>
      </w:r>
    </w:p>
    <w:p>
      <w:pPr>
        <w:pStyle w:val="Style20"/>
        <w:rPr/>
      </w:pPr>
      <w:r>
        <w:rPr/>
        <w:t xml:space="preserve">По выявленным в 2021 году нарушениям законодательства в области охраны объектов культурного наследия назначено штрафов на общую сумму </w:t>
      </w:r>
      <w:r>
        <w:rPr>
          <w:sz w:val="28"/>
          <w:szCs w:val="20"/>
          <w:lang w:eastAsia="ar-SA"/>
        </w:rPr>
        <w:t>160 000</w:t>
      </w:r>
      <w:r>
        <w:rPr/>
        <w:t xml:space="preserve"> руб. Сумма штрафов в 2020 году составила </w:t>
      </w:r>
      <w:r>
        <w:rPr>
          <w:sz w:val="28"/>
          <w:szCs w:val="20"/>
          <w:lang w:eastAsia="ar-SA"/>
        </w:rPr>
        <w:t>769 000</w:t>
      </w:r>
      <w:r>
        <w:rPr/>
        <w:t xml:space="preserve"> рублей.</w:t>
      </w:r>
    </w:p>
    <w:p>
      <w:pPr>
        <w:pStyle w:val="Style20"/>
        <w:rPr/>
      </w:pPr>
      <w:r>
        <w:rPr/>
      </w:r>
    </w:p>
    <w:p>
      <w:pPr>
        <w:pStyle w:val="Style20"/>
        <w:ind w:hanging="0"/>
        <w:jc w:val="center"/>
        <w:rPr>
          <w:b/>
          <w:b/>
        </w:rPr>
      </w:pPr>
      <w:r>
        <w:rPr>
          <w:b/>
        </w:rPr>
        <w:t>4. Анализ правоприменительной практики и контрольно-надзорной деятельности Комитета</w:t>
      </w:r>
    </w:p>
    <w:p>
      <w:pPr>
        <w:pStyle w:val="Style20"/>
        <w:rPr/>
      </w:pPr>
      <w:r>
        <w:rPr/>
      </w:r>
    </w:p>
    <w:p>
      <w:pPr>
        <w:pStyle w:val="Style20"/>
        <w:rPr/>
      </w:pPr>
      <w:r>
        <w:rPr/>
        <w:t xml:space="preserve">Как следует из статистических данных контрольно-надзорной деятельности Комитета за 2021 год, большинство дел об административных правонарушениях возбуждались по фактам проведения работ на объектах культурного наследия, в зонах охраны объектов культурного наследия без согласования с органом охраны, а также непринятия мер к надлежащему содержанию и сохранению объектов культурного наследия, нарушения проектными организациями требований федерального законодательства об объектах культурного наследия. </w:t>
      </w:r>
    </w:p>
    <w:p>
      <w:pPr>
        <w:pStyle w:val="Style20"/>
        <w:rPr/>
      </w:pPr>
      <w:r>
        <w:rPr/>
        <w:t>Среди причин совершения таких правонарушений, следует считать все еще низкий уровень знаний собственниками или иными законными владельцами объектов культурного наследия, земельных участков требований законодательства об охране объектов культурного наследия, а также необходимость значительных финансовых затрат на принятие необходимых мер, в том числе по сохранению объектов культурного наследия и устранение допущенных нарушений.</w:t>
      </w:r>
    </w:p>
    <w:p>
      <w:pPr>
        <w:pStyle w:val="Style20"/>
        <w:rPr>
          <w:szCs w:val="28"/>
          <w:u w:val="single"/>
        </w:rPr>
      </w:pPr>
      <w:r>
        <w:rPr/>
        <w:t xml:space="preserve">При анализе основных причин совершения нарушений в отношении объектов культурного наследия отмечается нежелание собственников объектов культурного наследия финансировать проведение работ по их сохранению, игнорирование требований предписаний об устранении выявленных нарушений. Кроме того, другими причинами являются:отсутствие финансирования проведения работ по сохранению  объектов культурного наследия (в основном у организаций, финансируемых из бюджетов); низкий уровень знаний собственниками или иными законными владельцами объектов культурного наследия требований законодательства об их охране. В целях недопущения нарушений обязательных требований законодательства об объектах культурного наследия собственникам и иным законным владельцам объектов культурного наследия рекомендуется проявлять должную  степень внимательности и осмотрительности при приобретении и владении объектом культурного наследия путем получения информации об историко-культурной ценности объекта культурного наследия на сайте </w:t>
      </w:r>
      <w:r>
        <w:rPr>
          <w:sz w:val="28"/>
          <w:szCs w:val="20"/>
          <w:lang w:eastAsia="ar-SA"/>
        </w:rPr>
        <w:t>Комитета</w:t>
      </w:r>
      <w:r>
        <w:rPr/>
        <w:t xml:space="preserve"> и в открытых официальных источниках, а также об особенностях владения объектом культурного наследия, порядке проведения работ по его сохранению,в том числе путем подачи официального обращения в </w:t>
      </w:r>
      <w:r>
        <w:rPr>
          <w:sz w:val="28"/>
          <w:szCs w:val="20"/>
          <w:lang w:eastAsia="ar-SA"/>
        </w:rPr>
        <w:t>Комитет.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профилактики нарушений обязательных требований, требований, установленных муниципальными правовыми актами, Комитетом: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размещен на официальном сайте Перечень актов, содержащих обязательные требования, соблюдение которых оценивается при осуществлении государственного контроля (надзора) за состоянием, содержанием, сохранением, использованием, популяризацией и государственной охраной объектов культурного наследия. Перечень со ссылками на соответствующие нормативные правовые акты размещен на официальном сайте Комитета (http://nasledie.ivanovoobl.ru) во вкладке «Надзорная деятельность»;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 осуществлении государственного контроля (надзора) за состоянием, содержанием, сохранением, использованием, популяризацией и государственной охраной объектов культурного наследия, в рамках проводимых надзорных мероприятий должностными лицами Комитета оказывается юридическим лицам и индивидуальным предпринимателям методическая помощь, даются консультации, разъясняются требования законодательства.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>- обеспечено обобщение практики осуществления в соответствующей сфере деятельности государственного контроля (надзора), муниципального контроля и размещение на официальных сайтах в сети «Интернет» соответствующих обобщений, в том числе с указанием наиболее часто встречающихся случаев нарушений обязательных требований, требований, установленных муниципальными правовыми актами,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нарушений.</w:t>
      </w:r>
    </w:p>
    <w:sectPr>
      <w:type w:val="nextPage"/>
      <w:pgSz w:w="11906" w:h="16838"/>
      <w:pgMar w:left="1559" w:right="1276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ambria">
    <w:charset w:val="01"/>
    <w:family w:val="roman"/>
    <w:pitch w:val="default"/>
  </w:font>
  <w:font w:name="Tahoma">
    <w:charset w:val="01"/>
    <w:family w:val="roman"/>
    <w:pitch w:val="default"/>
  </w:font>
  <w:font w:name="Arial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725" w:hanging="1005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7706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ar-SA" w:bidi="ar-SA"/>
    </w:rPr>
  </w:style>
  <w:style w:type="paragraph" w:styleId="1">
    <w:name w:val="Heading 1"/>
    <w:basedOn w:val="Normal"/>
    <w:next w:val="Normal"/>
    <w:link w:val="10"/>
    <w:uiPriority w:val="9"/>
    <w:qFormat/>
    <w:rsid w:val="008e4b38"/>
    <w:pPr>
      <w:keepNext w:val="true"/>
      <w:spacing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2">
    <w:name w:val="Heading 2"/>
    <w:basedOn w:val="Normal"/>
    <w:link w:val="20"/>
    <w:uiPriority w:val="9"/>
    <w:qFormat/>
    <w:rsid w:val="008e4b38"/>
    <w:pPr>
      <w:suppressAutoHyphens w:val="false"/>
      <w:spacing w:beforeAutospacing="1" w:afterAutospacing="1"/>
      <w:outlineLvl w:val="1"/>
    </w:pPr>
    <w:rPr>
      <w:b/>
      <w:bCs/>
      <w:sz w:val="36"/>
      <w:szCs w:val="36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11" w:customStyle="1">
    <w:name w:val="Заголовок 1 Знак"/>
    <w:link w:val="1"/>
    <w:uiPriority w:val="9"/>
    <w:qFormat/>
    <w:rsid w:val="008e4b38"/>
    <w:rPr>
      <w:rFonts w:ascii="Cambria" w:hAnsi="Cambria" w:eastAsia="Times New Roman" w:cs="Times New Roman"/>
      <w:b/>
      <w:bCs/>
      <w:kern w:val="2"/>
      <w:sz w:val="32"/>
      <w:szCs w:val="32"/>
      <w:lang w:eastAsia="ar-SA"/>
    </w:rPr>
  </w:style>
  <w:style w:type="character" w:styleId="21" w:customStyle="1">
    <w:name w:val="Заголовок 2 Знак"/>
    <w:link w:val="2"/>
    <w:uiPriority w:val="9"/>
    <w:qFormat/>
    <w:rsid w:val="008e4b38"/>
    <w:rPr>
      <w:b/>
      <w:bCs/>
      <w:sz w:val="36"/>
      <w:szCs w:val="36"/>
    </w:rPr>
  </w:style>
  <w:style w:type="character" w:styleId="AbsatzStandardschriftart" w:customStyle="1">
    <w:name w:val="Absatz-Standardschriftart"/>
    <w:qFormat/>
    <w:rsid w:val="00c77065"/>
    <w:rPr/>
  </w:style>
  <w:style w:type="character" w:styleId="WWAbsatzStandardschriftart" w:customStyle="1">
    <w:name w:val="WW-Absatz-Standardschriftart"/>
    <w:qFormat/>
    <w:rsid w:val="00c77065"/>
    <w:rPr/>
  </w:style>
  <w:style w:type="character" w:styleId="WWAbsatzStandardschriftart1" w:customStyle="1">
    <w:name w:val="WW-Absatz-Standardschriftart1"/>
    <w:qFormat/>
    <w:rsid w:val="00c77065"/>
    <w:rPr/>
  </w:style>
  <w:style w:type="character" w:styleId="WWAbsatzStandardschriftart11" w:customStyle="1">
    <w:name w:val="WW-Absatz-Standardschriftart11"/>
    <w:qFormat/>
    <w:rsid w:val="00c77065"/>
    <w:rPr/>
  </w:style>
  <w:style w:type="character" w:styleId="WWAbsatzStandardschriftart111" w:customStyle="1">
    <w:name w:val="WW-Absatz-Standardschriftart111"/>
    <w:qFormat/>
    <w:rsid w:val="00c77065"/>
    <w:rPr/>
  </w:style>
  <w:style w:type="character" w:styleId="WWAbsatzStandardschriftart1111" w:customStyle="1">
    <w:name w:val="WW-Absatz-Standardschriftart1111"/>
    <w:qFormat/>
    <w:rsid w:val="00c77065"/>
    <w:rPr/>
  </w:style>
  <w:style w:type="character" w:styleId="WWAbsatzStandardschriftart11111" w:customStyle="1">
    <w:name w:val="WW-Absatz-Standardschriftart11111"/>
    <w:qFormat/>
    <w:rsid w:val="00c77065"/>
    <w:rPr/>
  </w:style>
  <w:style w:type="character" w:styleId="WWAbsatzStandardschriftart111111" w:customStyle="1">
    <w:name w:val="WW-Absatz-Standardschriftart111111"/>
    <w:qFormat/>
    <w:rsid w:val="00c77065"/>
    <w:rPr/>
  </w:style>
  <w:style w:type="character" w:styleId="WWAbsatzStandardschriftart1111111" w:customStyle="1">
    <w:name w:val="WW-Absatz-Standardschriftart1111111"/>
    <w:qFormat/>
    <w:rsid w:val="00c77065"/>
    <w:rPr/>
  </w:style>
  <w:style w:type="character" w:styleId="WW8Num2z0" w:customStyle="1">
    <w:name w:val="WW8Num2z0"/>
    <w:qFormat/>
    <w:rsid w:val="00c77065"/>
    <w:rPr>
      <w:rFonts w:ascii="Times New Roman" w:hAnsi="Times New Roman" w:eastAsia="Times New Roman" w:cs="Times New Roman"/>
      <w:sz w:val="24"/>
    </w:rPr>
  </w:style>
  <w:style w:type="character" w:styleId="12" w:customStyle="1">
    <w:name w:val="Основной шрифт абзаца1"/>
    <w:qFormat/>
    <w:rsid w:val="00c77065"/>
    <w:rPr/>
  </w:style>
  <w:style w:type="character" w:styleId="Style12" w:customStyle="1">
    <w:name w:val="Основной текст с отступом Знак"/>
    <w:qFormat/>
    <w:rsid w:val="00c77065"/>
    <w:rPr>
      <w:sz w:val="28"/>
    </w:rPr>
  </w:style>
  <w:style w:type="character" w:styleId="Style13" w:customStyle="1">
    <w:name w:val="Текст выноски Знак"/>
    <w:qFormat/>
    <w:rsid w:val="00c77065"/>
    <w:rPr>
      <w:rFonts w:ascii="Tahoma" w:hAnsi="Tahoma" w:cs="Tahoma"/>
      <w:sz w:val="16"/>
      <w:szCs w:val="16"/>
    </w:rPr>
  </w:style>
  <w:style w:type="character" w:styleId="Style14">
    <w:name w:val="Интернет-ссылка"/>
    <w:uiPriority w:val="99"/>
    <w:unhideWhenUsed/>
    <w:rsid w:val="008e4b38"/>
    <w:rPr>
      <w:color w:val="000080"/>
      <w:u w:val="single"/>
    </w:rPr>
  </w:style>
  <w:style w:type="paragraph" w:styleId="Style15" w:customStyle="1">
    <w:name w:val="Заголовок"/>
    <w:basedOn w:val="Normal"/>
    <w:next w:val="Style16"/>
    <w:qFormat/>
    <w:rsid w:val="00c77065"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Style16">
    <w:name w:val="Body Text"/>
    <w:basedOn w:val="Normal"/>
    <w:rsid w:val="00c77065"/>
    <w:pPr/>
    <w:rPr>
      <w:sz w:val="44"/>
      <w:szCs w:val="20"/>
    </w:rPr>
  </w:style>
  <w:style w:type="paragraph" w:styleId="Style17">
    <w:name w:val="List"/>
    <w:basedOn w:val="Style16"/>
    <w:rsid w:val="00c77065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3" w:customStyle="1">
    <w:name w:val="Название1"/>
    <w:basedOn w:val="Normal"/>
    <w:qFormat/>
    <w:rsid w:val="00c77065"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rsid w:val="00c77065"/>
    <w:pPr>
      <w:suppressLineNumbers/>
    </w:pPr>
    <w:rPr>
      <w:rFonts w:cs="Mangal"/>
    </w:rPr>
  </w:style>
  <w:style w:type="paragraph" w:styleId="Style20">
    <w:name w:val="Body Text Indent"/>
    <w:basedOn w:val="Normal"/>
    <w:rsid w:val="00c77065"/>
    <w:pPr>
      <w:ind w:firstLine="720"/>
      <w:jc w:val="both"/>
    </w:pPr>
    <w:rPr>
      <w:sz w:val="28"/>
      <w:szCs w:val="20"/>
    </w:rPr>
  </w:style>
  <w:style w:type="paragraph" w:styleId="Style21">
    <w:name w:val="Верхний и нижний колонтитулы"/>
    <w:basedOn w:val="Normal"/>
    <w:qFormat/>
    <w:pPr/>
    <w:rPr/>
  </w:style>
  <w:style w:type="paragraph" w:styleId="Style22">
    <w:name w:val="Footer"/>
    <w:basedOn w:val="Normal"/>
    <w:rsid w:val="00c77065"/>
    <w:pPr/>
    <w:rPr>
      <w:sz w:val="20"/>
      <w:szCs w:val="20"/>
    </w:rPr>
  </w:style>
  <w:style w:type="paragraph" w:styleId="Style23">
    <w:name w:val="Header"/>
    <w:basedOn w:val="Normal"/>
    <w:rsid w:val="00c77065"/>
    <w:pPr/>
    <w:rPr/>
  </w:style>
  <w:style w:type="paragraph" w:styleId="BalloonText">
    <w:name w:val="Balloon Text"/>
    <w:basedOn w:val="Normal"/>
    <w:qFormat/>
    <w:rsid w:val="00c77065"/>
    <w:pPr/>
    <w:rPr>
      <w:rFonts w:ascii="Tahoma" w:hAnsi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77065"/>
    <w:pPr>
      <w:ind w:left="720" w:hanging="0"/>
    </w:pPr>
    <w:rPr/>
  </w:style>
  <w:style w:type="paragraph" w:styleId="NormalWeb">
    <w:name w:val="Normal (Web)"/>
    <w:basedOn w:val="Normal"/>
    <w:uiPriority w:val="99"/>
    <w:qFormat/>
    <w:rsid w:val="00c77065"/>
    <w:pPr>
      <w:spacing w:before="280" w:after="280"/>
    </w:pPr>
    <w:rPr/>
  </w:style>
  <w:style w:type="paragraph" w:styleId="ConsPlusNormal" w:customStyle="1">
    <w:name w:val="ConsPlusNormal"/>
    <w:qFormat/>
    <w:rsid w:val="00c77065"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Arial"/>
      <w:color w:val="auto"/>
      <w:kern w:val="0"/>
      <w:sz w:val="20"/>
      <w:szCs w:val="20"/>
      <w:lang w:val="ru-RU" w:eastAsia="ar-SA" w:bidi="ar-SA"/>
    </w:rPr>
  </w:style>
  <w:style w:type="paragraph" w:styleId="ConsPlusTitle" w:customStyle="1">
    <w:name w:val="ConsPlusTitle"/>
    <w:basedOn w:val="Normal"/>
    <w:next w:val="Normal"/>
    <w:qFormat/>
    <w:rsid w:val="00c77065"/>
    <w:pPr>
      <w:widowControl w:val="false"/>
    </w:pPr>
    <w:rPr>
      <w:rFonts w:ascii="Arial" w:hAnsi="Arial" w:eastAsia="Arial" w:cs="Arial"/>
      <w:b/>
      <w:bCs/>
      <w:sz w:val="20"/>
      <w:szCs w:val="20"/>
      <w:lang w:eastAsia="ru-RU" w:bidi="ru-RU"/>
    </w:rPr>
  </w:style>
  <w:style w:type="paragraph" w:styleId="Style24" w:customStyle="1">
    <w:name w:val="Содержимое таблицы"/>
    <w:basedOn w:val="Normal"/>
    <w:qFormat/>
    <w:rsid w:val="00c77065"/>
    <w:pPr>
      <w:suppressLineNumbers/>
    </w:pPr>
    <w:rPr/>
  </w:style>
  <w:style w:type="paragraph" w:styleId="Style25" w:customStyle="1">
    <w:name w:val="Заголовок таблицы"/>
    <w:basedOn w:val="Style24"/>
    <w:qFormat/>
    <w:rsid w:val="00c77065"/>
    <w:pPr>
      <w:jc w:val="center"/>
    </w:pPr>
    <w:rPr>
      <w:b/>
      <w:bCs/>
    </w:rPr>
  </w:style>
  <w:style w:type="paragraph" w:styleId="Style26" w:customStyle="1">
    <w:name w:val="Таблица Центр"/>
    <w:basedOn w:val="Normal"/>
    <w:autoRedefine/>
    <w:qFormat/>
    <w:rsid w:val="00095fc5"/>
    <w:pPr>
      <w:suppressAutoHyphens w:val="false"/>
      <w:spacing w:before="0" w:after="60"/>
      <w:ind w:left="-113" w:right="-113" w:hanging="0"/>
      <w:jc w:val="center"/>
    </w:pPr>
    <w:rPr>
      <w:rFonts w:ascii="Arial" w:hAnsi="Arial"/>
      <w:sz w:val="18"/>
      <w:lang w:eastAsia="ru-RU"/>
    </w:rPr>
  </w:style>
  <w:style w:type="paragraph" w:styleId="Style27" w:customStyle="1">
    <w:name w:val="табличный"/>
    <w:basedOn w:val="Normal"/>
    <w:qFormat/>
    <w:rsid w:val="00a742ac"/>
    <w:pPr>
      <w:numPr>
        <w:ilvl w:val="0"/>
        <w:numId w:val="1"/>
      </w:numPr>
      <w:suppressAutoHyphens w:val="false"/>
    </w:pPr>
    <w:rPr>
      <w:rFonts w:ascii="Arial" w:hAnsi="Arial" w:cs="Arial"/>
      <w:sz w:val="18"/>
      <w:szCs w:val="20"/>
      <w:lang w:eastAsia="ru-RU"/>
    </w:rPr>
  </w:style>
  <w:style w:type="paragraph" w:styleId="22" w:customStyle="1">
    <w:name w:val="табличный2"/>
    <w:basedOn w:val="Style27"/>
    <w:qFormat/>
    <w:rsid w:val="00a742ac"/>
    <w:pPr>
      <w:numPr>
        <w:ilvl w:val="0"/>
        <w:numId w:val="0"/>
      </w:numPr>
      <w:jc w:val="center"/>
    </w:pPr>
    <w:rPr/>
  </w:style>
  <w:style w:type="paragraph" w:styleId="15" w:customStyle="1">
    <w:name w:val="Абзац списка1"/>
    <w:basedOn w:val="Normal"/>
    <w:qFormat/>
    <w:rsid w:val="00a742ac"/>
    <w:pPr>
      <w:suppressAutoHyphens w:val="false"/>
      <w:spacing w:lineRule="auto" w:line="276" w:before="0" w:after="200"/>
      <w:ind w:left="720" w:hanging="0"/>
    </w:pPr>
    <w:rPr>
      <w:rFonts w:ascii="Calibri" w:hAnsi="Calibri"/>
      <w:sz w:val="22"/>
      <w:szCs w:val="22"/>
      <w:lang w:eastAsia="en-US"/>
    </w:rPr>
  </w:style>
  <w:style w:type="paragraph" w:styleId="NoSpacing">
    <w:name w:val="No Spacing"/>
    <w:uiPriority w:val="1"/>
    <w:qFormat/>
    <w:rsid w:val="00e97f0e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4">
    <w:name w:val="Table Grid"/>
    <w:basedOn w:val="a2"/>
    <w:uiPriority w:val="59"/>
    <w:rsid w:val="00f674e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757659-7E14-462F-8CFE-C3C7B8CA5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Application>LibreOffice/7.0.6.2$Linux_X86_64 LibreOffice_project/00$Build-2</Application>
  <AppVersion>15.0000</AppVersion>
  <Pages>5</Pages>
  <Words>1126</Words>
  <Characters>8903</Characters>
  <CharactersWithSpaces>10006</CharactersWithSpaces>
  <Paragraphs>36</Paragraphs>
  <Company>Департамент культуры Ивановской области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2022-03-02T11:49:00Z</dcterms:created>
  <dc:creator>bakvv</dc:creator>
  <dc:description/>
  <dc:language>ru-RU</dc:language>
  <cp:lastModifiedBy/>
  <cp:lastPrinted>2021-03-31T08:45:00Z</cp:lastPrinted>
  <dcterms:modified xsi:type="dcterms:W3CDTF">2022-03-04T09:22:28Z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