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"/>
          <w:szCs w:val="2"/>
          <w:shd w:fill="auto" w:val="clear"/>
        </w:rPr>
      </w:pPr>
      <w:r>
        <w:rPr>
          <w:sz w:val="2"/>
          <w:szCs w:val="2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5350" cy="1445260"/>
                <wp:effectExtent l="635" t="635" r="635" b="635"/>
                <wp:wrapNone/>
                <wp:docPr id="2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400" cy="1445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 ____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 xml:space="preserve"> 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» ____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2__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г.</w:t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0"/>
                              <w:tabs>
                                <w:tab w:val="clear" w:pos="864"/>
                                <w:tab w:val="left" w:pos="1226" w:leader="none"/>
                                <w:tab w:val="left" w:pos="1560" w:leader="none"/>
                              </w:tabs>
                              <w:overflowPunct w:val="true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Регистрационный № </w:t>
                            </w:r>
                            <w:bookmarkEnd w:id="0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_</w:t>
                            </w:r>
                            <w:r>
                              <w:rPr>
                                <w:rFonts w:eastAsia="Calibri" w:cs="Times New Roman" w:ascii="Tinos" w:hAnsi="Tinos"/>
                                <w:color w:val="000000"/>
                                <w:kern w:val="0"/>
                                <w:sz w:val="20"/>
                                <w:szCs w:val="20"/>
                                <w:u w:val="single"/>
                                <w:lang w:val="ru-RU" w:eastAsia="en-US" w:bidi="ar-SA"/>
                              </w:rPr>
                              <w:t>__________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t" o:allowincell="f" style="position:absolute;margin-left:339.25pt;margin-top:-37.45pt;width:170.45pt;height:113.75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 ____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 xml:space="preserve"> 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» ____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20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2__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г.</w:t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0"/>
                        <w:tabs>
                          <w:tab w:val="clear" w:pos="864"/>
                          <w:tab w:val="left" w:pos="1226" w:leader="none"/>
                          <w:tab w:val="left" w:pos="1560" w:leader="none"/>
                        </w:tabs>
                        <w:overflowPunct w:val="true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Регистрационный № </w:t>
                      </w:r>
                      <w:bookmarkEnd w:id="1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_</w:t>
                      </w:r>
                      <w:r>
                        <w:rPr>
                          <w:rFonts w:eastAsia="Calibri" w:cs="Times New Roman" w:ascii="Tinos" w:hAnsi="Tinos"/>
                          <w:color w:val="000000"/>
                          <w:kern w:val="0"/>
                          <w:sz w:val="20"/>
                          <w:szCs w:val="20"/>
                          <w:u w:val="single"/>
                          <w:lang w:val="ru-RU" w:eastAsia="en-US" w:bidi="ar-SA"/>
                        </w:rPr>
                        <w:t>__________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>КОМИТЕТ ИВАНОВСКОЙ ОБЛАСТИ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ПО ГОСУДАРСТВЕННОЙ ОХРАНЕ ОБЪЕКТОВ </w:t>
      </w:r>
    </w:p>
    <w:p>
      <w:pPr>
        <w:pStyle w:val="Normal"/>
        <w:jc w:val="center"/>
        <w:rPr>
          <w:shd w:fill="auto" w:val="clear"/>
        </w:rPr>
      </w:pPr>
      <w:r>
        <w:rPr>
          <w:b/>
          <w:sz w:val="32"/>
          <w:szCs w:val="32"/>
          <w:shd w:fill="auto" w:val="clear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  <w:shd w:fill="auto" w:val="clear"/>
              </w:rPr>
            </w:pPr>
            <w:r>
              <w:rPr>
                <w:color w:val="000000"/>
                <w:sz w:val="8"/>
                <w:szCs w:val="8"/>
                <w:shd w:fill="auto" w:val="clear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  <w:shd w:fill="auto" w:val="clear"/>
        </w:rPr>
      </w:pPr>
      <w:r>
        <w:rPr>
          <w:spacing w:val="80"/>
          <w:shd w:fill="auto" w:val="clear"/>
        </w:rPr>
      </w:r>
    </w:p>
    <w:p>
      <w:pPr>
        <w:pStyle w:val="Normal"/>
        <w:widowControl/>
        <w:jc w:val="center"/>
        <w:rPr>
          <w:shd w:fill="auto" w:val="clear"/>
        </w:rPr>
      </w:pPr>
      <w:r>
        <w:rPr>
          <w:b/>
          <w:spacing w:val="80"/>
          <w:sz w:val="40"/>
          <w:szCs w:val="40"/>
          <w:shd w:fill="auto" w:val="clear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1700"/>
        <w:gridCol w:w="1701"/>
        <w:gridCol w:w="3402"/>
      </w:tblGrid>
      <w:tr>
        <w:trPr>
          <w:trHeight w:val="365" w:hRule="atLeast"/>
        </w:trPr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«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__</w:t>
            </w:r>
            <w:r>
              <w:rPr>
                <w:sz w:val="28"/>
                <w:szCs w:val="28"/>
                <w:shd w:fill="auto" w:val="clear"/>
              </w:rPr>
              <w:t>» _____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 xml:space="preserve"> __ </w:t>
            </w:r>
            <w:r>
              <w:rPr>
                <w:sz w:val="28"/>
                <w:szCs w:val="28"/>
                <w:shd w:fill="auto" w:val="clear"/>
              </w:rPr>
              <w:t>20</w:t>
            </w:r>
            <w:r>
              <w:rPr>
                <w:sz w:val="28"/>
                <w:szCs w:val="28"/>
                <w:u w:val="single"/>
                <w:shd w:fill="auto" w:val="clear"/>
              </w:rPr>
              <w:t>2_</w:t>
            </w:r>
            <w:r>
              <w:rPr>
                <w:sz w:val="28"/>
                <w:szCs w:val="28"/>
                <w:shd w:fill="auto" w:val="clear"/>
              </w:rPr>
              <w:t xml:space="preserve"> г.</w:t>
            </w:r>
          </w:p>
        </w:tc>
        <w:tc>
          <w:tcPr>
            <w:tcW w:w="34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г. Иваново</w:t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 xml:space="preserve">№ </w:t>
            </w:r>
            <w:r>
              <w:rPr>
                <w:sz w:val="28"/>
                <w:szCs w:val="28"/>
                <w:shd w:fill="auto" w:val="clear"/>
              </w:rPr>
              <w:t>___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u w:val="single"/>
                <w:shd w:fill="auto" w:val="clear"/>
                <w:lang w:val="ru-RU" w:eastAsia="ar-SA" w:bidi="ar-SA"/>
              </w:rPr>
              <w:t>-о_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widowControl w:val="false"/>
              <w:spacing w:before="0" w:after="0"/>
              <w:contextualSpacing/>
              <w:jc w:val="center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 внесении изменений в приказ комитета Ивановской области </w:t>
              <w:br/>
              <w:t>по государственной охране объект</w:t>
            </w:r>
            <w:bookmarkStart w:id="2" w:name="_GoBack1"/>
            <w:bookmarkEnd w:id="2"/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ов культурного наследия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 13.07.2016 № 37-о</w:t>
            </w:r>
          </w:p>
          <w:p>
            <w:pPr>
              <w:pStyle w:val="Normal"/>
              <w:widowControl w:val="false"/>
              <w:ind w:left="0" w:hanging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Об утверждении Административного регламента комитета Ивановской области по государственной охране объектов культурного наследия предоставления государственной услуги по выдаче задания и разрешения на проведение работ </w:t>
              <w:br/>
              <w:t xml:space="preserve">по сохранению объекта культурного наследия (памятника истории и культуры) народов Российской Федерации регионального значения, </w:t>
              <w:br/>
              <w:t>выявленного объекта культурного наследия»</w:t>
            </w:r>
          </w:p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Tinos" w:hAnsi="Tinos"/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</w:rPr>
            </w:r>
          </w:p>
        </w:tc>
      </w:tr>
      <w:tr>
        <w:trPr>
          <w:trHeight w:val="3402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firstLine="68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В соответствии со </w:t>
            </w:r>
            <w:hyperlink r:id="rId3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  <w:shd w:fill="auto" w:val="clear"/>
                </w:rPr>
                <w:t>статьей 26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Федерального закона от 25.06.2002 № 73-ФЗ «Об объектах культурного наследия (памятниках истории и культуры) народов Российской Федерации», Федеральным </w:t>
            </w:r>
            <w:hyperlink r:id="rId4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  <w:shd w:fill="auto" w:val="clear"/>
                </w:rPr>
                <w:t>законом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 от 27.07.2010 № 210-ФЗ                     «Об организации предоставления государственных и муниципальных услуг», приказом Министерства культуры Российской Федерации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от 21.10.2015 № 2625 «Об утверждении порядка выдачи разрешения на проведение работ                               по сохранению объекта культурного наследия, включенного в единый государственный реестр объектов культурного наследия (памятников истории                и культуры) народов Российской Федерации, или выявленного объекта культурного наследия», постановлением Правительства Ивановской области                 от 07.03.2023 № 95-п «Об утверждении Порядка разработки и утверждения административных регламентов предоставления государственных услуг» в целях уточнения отдельных положений нормативного правового акта и корректировки технических недочетов </w:t>
            </w:r>
            <w:hyperlink r:id="rId5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>п р и к а з ы в а ю:</w:t>
              </w:r>
            </w:hyperlink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1. В</w:t>
            </w:r>
            <w:hyperlink r:id="rId6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 xml:space="preserve">нести в </w:t>
              </w:r>
            </w:hyperlink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приказ комитета Ивановской области по государственной охране объект</w:t>
            </w:r>
            <w:bookmarkStart w:id="3" w:name="_GoBack11"/>
            <w:bookmarkEnd w:id="3"/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ов культурного наследия </w:t>
            </w: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от 13.07.2016 № 37-о «Об утверждении Административного регламента комитета Ивановской области по государственной охране объектов культурного наследия предоставления государственной услуги               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наследия»</w:t>
            </w:r>
            <w:hyperlink r:id="rId7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 xml:space="preserve">  с</w:t>
              </w:r>
            </w:hyperlink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ледующие изменения: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в приложении к приказу: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1.1. Пункт 2.12.1.2.3 после пункта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2.12.1.3.2 считать пунктом </w:t>
            </w: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>2.12.1.3.3.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shd w:fill="auto" w:val="clear"/>
              </w:rPr>
              <w:t xml:space="preserve">1.2. В абзаце первом пункта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2.12.2.3.3 слова «Единый портал» заменить словом «Портал».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1.3. Пункт 2.16.4 после пункта 2.16.4 считать пунктом 2.16.5.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1.4. В пункте 2.19.2.3 слова «Закона № 73-ФЗ» заменить словами «Федерального закона  от 25.06.2002 № 73-ФЗ «Об объектах культурного наследия (памятниках истории и культуры) народов Российской Федерации»                          (далее — Закона № 73-ФЗ).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1.5. Пункты 2.19, 2.20 подраздела «</w:t>
            </w: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Требования к помещениям, в которых предоставляются государственные услуги» раздела 2 «Стандарт предоставления государственной услуги» считать соответственно пунктами 2.23, 2.24.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 xml:space="preserve">1.6. Пункты 2.21, 2.21.1, 2.21.2, 2.21.3, 2.21.4, 2.21.5, 2.21.6, 2.22, 2.22.1, 2.22.2, 2.22.3, 2.22.4, 2.22.5, 2.22.6 подраздела «Показатели качества                           и доступности государственной услуги» 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раздела 2 «Стандарт предоставления государственной услуги» считать соответственно пунктами  2.25, 2.25.1, 2.25.2, 2.25.3, 2.25.4, 2.25.5, 2.25.6, 2.26, 2.26.1, 2.26.2, 2.26.3, 2.26.4, 2.26.5, 2.26.6.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 xml:space="preserve">1.7. 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Пункты 2.23, 2.24 подраздела «Иные требования к предоставлению </w:t>
            </w: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 xml:space="preserve"> государственной услуги» раздела 2 «Стандарт предоставления государственной услуги» считать соответственно пунктами 2.27, 2.28.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1.8. Пункты 3.1.2, 3.1.2, 3.1.3, 3.1.4 подраздела «Исчерпывающий перечень административных процедур» раздела 3 «Состав, последовательность и сроки выполнения административных процедур» считать соответственно пунктами 3.1.2, 3.1.3, 3.1.4, 3.1.5.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1.9. Абзац первый пункта 3.4 изложить в следующей редакции: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После регистрации заявления в Комитете председатель Комитета принимает решение о его передаче на исполнение в отдел государственной охраны объектов культурного наследия и обеспечения деятельности (далее - Профильный отдел). Начальник Профильного отдела или лицо, его замещающее, назначает ответственного исполнителя за рассмотрение заявления и соответствующих                           (далее - ответственный исполнитель).».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1.10. В пункте 3.5 слова «к приложению 9» заменить словами                                 «к приложению 7».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1.11. В подразделе «Формирование и направление межведомственного запроса в орган, участвующий в предоставлении государственной услуги»             раздела 3 «Состав, последовательность и сроки выполнения административных процедур»:</w:t>
            </w:r>
          </w:p>
          <w:p>
            <w:pPr>
              <w:pStyle w:val="ConsPlusTitle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1.11.1. Пункт 3.28 дополнить абзацем следующего содержания: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sz w:val="28"/>
                <w:szCs w:val="28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Ответственный исполнитель вправе запрашивать документ, указанный                в абзаце первом настоящего пункта, только при наличии поступившего заявления.».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1.11.2. Пункт 3.30 признать утратившим силу.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1.12. В пункте 3.37.4 слова «Федеральным законом» заменить словом «федеральными законами».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1.13. 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Пункт 3.28 подраздела «</w:t>
            </w:r>
            <w:r>
              <w:rPr>
                <w:rFonts w:ascii="Tinos" w:hAnsi="Tinos"/>
                <w:sz w:val="28"/>
                <w:szCs w:val="28"/>
              </w:rPr>
              <w:t>Порядок исправления допущенных опечаток              и ошибок в выданных в результате предоставления государственной услуги документах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» раздела 3 «Состав, последовательность и сроки выполнения административных процедур» считать пунктом 3.41.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1.14. Раздел 5 изложить в следующей редакции: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center"/>
              <w:rPr/>
            </w:pP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«5.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Досудебный (внесудебный) порядок обжалования решений и действий (бездействия) исполнительного органа, предоставляющего государственную услугу, многофункционального центра, организаций, указанных </w:t>
              <w:br/>
              <w:t xml:space="preserve">в </w:t>
            </w:r>
            <w:hyperlink r:id="rId8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части 1.1 статьи 16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З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акона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210-ФЗ, а также их должностных лиц, государственных или муниципальных служащих, работников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76"/>
              <w:ind w:left="0" w:hanging="0"/>
              <w:jc w:val="both"/>
              <w:rPr>
                <w:color w:val="00000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5.1.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Гражданин вправе обжаловать любые решения и действия (бездействие)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должностного лица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, предоставляющего государственную услугу, либо государственного служащего, многофункционального центра, работника многофункционального центра в ходе предоставления ими государственной услуги в досудебном (внесудебном) и судебном порядке.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>
                <w:color w:val="000000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Основанием для начала процедуры досудебного (внесудебного) обжалования является несогласие заявителя с действиями (бездействием)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должностного лица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, либо государственного служащего, многофункционального центра, работника многофункционального центра, участвующих в предоставлении государственной услуги, и решениями, принятыми в ходе предоставления государственной услуги.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Общий порядок досудебного (внесудебного) обжалования регламентирован </w:t>
            </w:r>
            <w:hyperlink r:id="rId9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главой 2.1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Закона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210-ФЗ.</w:t>
            </w:r>
          </w:p>
          <w:p>
            <w:pPr>
              <w:pStyle w:val="Normal"/>
              <w:spacing w:lineRule="auto" w:line="276"/>
              <w:ind w:left="0" w:hanging="0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 </w:t>
            </w:r>
            <w:hyperlink r:id="rId10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Порядок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28.05.2013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193-п.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5.2.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Информирование заявителей о порядке подачи и рассмотрения жалобы осуществляется посредством размещения информации на Портале,                               на официальном сайте комитета в сети Интерне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те,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а также на информационных стендах в местах предоставления государственной услуги.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5.3.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Жалоба подается в письменной форме на бумажном носителе,                         в электронной форме в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многофункциональный центр. Жалобы                       на решения и действия (бездействие) руководителя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подаются                                 в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Правительство Ивановской области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Жалоба на решения и действия (бездействие)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должностного лица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государственного служащего, руководителя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может быть направлена  по почте, через многофункциональный центр, с использованием информационно-телекоммуникационной сети «Интернет», официального сайта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ортала, а также может быть принята при личном приеме заявителя.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При досудебном обжаловании жалоба подается: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б) руководителю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- на решения и действия (бездействие) подчиненных ему должностных лиц;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в) заместителю председателя Правительства Ивановской области,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осуществляющему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руководство Комплексом социальной сферы Ивановской области, - на действия (бездействие) руководителя Департамента.». 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1.15. Пункт 6.3 изложить в следующей редакции: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«6.3.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Многофункциональные центры осуществляют:</w:t>
            </w:r>
          </w:p>
          <w:p>
            <w:pPr>
              <w:pStyle w:val="Normal"/>
              <w:widowControl w:val="false"/>
              <w:spacing w:lineRule="auto" w:line="276"/>
              <w:ind w:left="0" w:right="0" w:hanging="0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6.3.1.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рием и заполнение запросов о предоставлении государственн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, в том числе посредством автоматизированных информационных систем многофункциональных центров, а также прием комплексных запросов;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6.3.2.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представление интересов заявителей при взаимодействии с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комитетом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а также с организациями, участвующими в предоставлении предусмотренных </w:t>
            </w:r>
            <w:hyperlink r:id="rId11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частью 1 статьи 1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Закона № 210-ФЗ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, в том числе с использованием информационно-технологической и коммуникационной инфраструктуры;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6.3.3.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представление интересов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при взаимодействии с заявителями;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6.3.4.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информирование заявителей о порядке предоставления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в том числе посредством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запроса о предоставлении нескольких государственных и муниципальных услуг (далее -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комплексного запроса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)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в многофункциональных центрах, о ходе выполнения запросов                       о предоставлении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комплексных запросов, а также                   по иным вопросам, связанным с предоставлением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а также консультирование заявителей о порядке предоставления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                                        в многофункциональных центрах и через порталы государственных                                и муниципальных услуг, в том числе путем оборудования в многофункциональном центре рабочих мест, предназначенных для обеспечения доступа                                     к информационно-телекоммуникационной сети «Интернет»;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6.3.5.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взаимодействие с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комитетом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а также с организациями, участвующими в предоставлении предусмотренных </w:t>
            </w:r>
            <w:hyperlink r:id="rId12">
              <w:r>
                <w:rPr>
                  <w:rFonts w:ascii="Tinos" w:hAnsi="Tinos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частью 1 статьи 1</w:t>
              </w:r>
            </w:hyperlink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Закона № 210-ФЗ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           и коммуникационной инфраструктуры;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6.3.6.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выдачу заявителям документов, полученных от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комитета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                           по результатам предоставления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, а также по результатам предоставления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государственной услуги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, указанн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ой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в комплексном запросе, если иное не предусмотрено законодательством Российской Федерации;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6.3.7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иные функции, установленные нормативными правовыми актами                 и соглашени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ем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 взаимодействии.».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/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1.16. В пункте 6.4 слова 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запроса о предоставлении нескольких государственных и (или) муниципальных услуг (далее - комплексный запрос)»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заменить словами «комплексного запроса». 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2. Настоящий приказ вступает в силу после дня его официального опубликования.</w:t>
            </w:r>
          </w:p>
          <w:p>
            <w:pPr>
              <w:pStyle w:val="Normal"/>
              <w:widowControl w:val="false"/>
              <w:spacing w:lineRule="auto" w:line="276"/>
              <w:ind w:left="0" w:right="0" w:firstLine="709"/>
              <w:jc w:val="both"/>
              <w:rPr>
                <w:color w:val="auto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3. Контроль за исполнением настоящего приказа оставляю за собой.</w:t>
            </w:r>
          </w:p>
          <w:p>
            <w:pPr>
              <w:pStyle w:val="Normal"/>
              <w:widowControl w:val="false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color w:val="auto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color w:val="000000"/>
                <w:sz w:val="20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Председатель комитета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auto" w:val="clear"/>
                <w:lang w:val="ru-RU" w:eastAsia="ar-SA" w:bidi="ar-SA"/>
              </w:rPr>
              <w:t>А.А</w:t>
            </w:r>
            <w:r>
              <w:rPr>
                <w:sz w:val="28"/>
                <w:szCs w:val="28"/>
                <w:shd w:fill="auto" w:val="clear"/>
              </w:rPr>
              <w:t>. Макаров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center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  <w:shd w:fill="auto" w:val="clear"/>
        </w:rPr>
      </w:pPr>
      <w:r>
        <w:rPr/>
      </w:r>
      <w:bookmarkStart w:id="4" w:name="Par451"/>
      <w:bookmarkStart w:id="5" w:name="Par451"/>
      <w:bookmarkEnd w:id="5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86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uiPriority w:val="1"/>
    <w:qFormat/>
    <w:rsid w:val="009f66dc"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f1240a"/>
    <w:rPr>
      <w:rFonts w:ascii="Tahoma" w:hAnsi="Tahoma" w:eastAsia="Times New Roman" w:cs="Tahoma"/>
      <w:sz w:val="16"/>
      <w:szCs w:val="16"/>
      <w:lang w:eastAsia="ar-SA"/>
    </w:rPr>
  </w:style>
  <w:style w:type="character" w:styleId="11" w:customStyle="1">
    <w:name w:val="Табличный Знак1"/>
    <w:qFormat/>
    <w:rsid w:val="00c2076a"/>
    <w:rPr>
      <w:rFonts w:ascii="Arial" w:hAnsi="Arial" w:eastAsia="Times New Roman" w:cs="Arial"/>
      <w:sz w:val="18"/>
      <w:szCs w:val="24"/>
      <w:lang w:eastAsia="ar-SA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c2076a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4" w:customStyle="1">
    <w:name w:val="Hyperlink"/>
    <w:basedOn w:val="DefaultParagraphFont"/>
    <w:uiPriority w:val="99"/>
    <w:unhideWhenUsed/>
    <w:rsid w:val="006871f9"/>
    <w:rPr>
      <w:color w:val="0000FF" w:themeColor="hyperlink"/>
      <w:u w:val="single"/>
    </w:rPr>
  </w:style>
  <w:style w:type="character" w:styleId="12" w:customStyle="1">
    <w:name w:val="Заголовок 1 Знак"/>
    <w:basedOn w:val="DefaultParagraphFont"/>
    <w:uiPriority w:val="1"/>
    <w:qFormat/>
    <w:rsid w:val="009f66dc"/>
    <w:rPr>
      <w:rFonts w:ascii="Bookman Old Style" w:hAnsi="Bookman Old Style" w:eastAsia="Bookman Old Style" w:cs="Bookman Old Style"/>
      <w:sz w:val="27"/>
      <w:szCs w:val="27"/>
    </w:rPr>
  </w:style>
  <w:style w:type="character" w:styleId="Style15" w:customStyle="1">
    <w:name w:val="Название Знак"/>
    <w:basedOn w:val="DefaultParagraphFont"/>
    <w:uiPriority w:val="1"/>
    <w:qFormat/>
    <w:rsid w:val="009f66dc"/>
    <w:rPr>
      <w:rFonts w:ascii="Times New Roman" w:hAnsi="Times New Roman" w:eastAsia="Times New Roman" w:cs="Times New Roman"/>
      <w:sz w:val="36"/>
      <w:szCs w:val="3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uiPriority w:val="1"/>
    <w:unhideWhenUsed/>
    <w:qFormat/>
    <w:rsid w:val="00c2076a"/>
    <w:pPr>
      <w:spacing w:before="0" w:after="12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f124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124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1240a"/>
    <w:pPr/>
    <w:rPr>
      <w:rFonts w:ascii="Tahoma" w:hAnsi="Tahoma" w:cs="Tahoma"/>
      <w:sz w:val="16"/>
      <w:szCs w:val="16"/>
    </w:rPr>
  </w:style>
  <w:style w:type="paragraph" w:styleId="Style23" w:customStyle="1">
    <w:name w:val="Таблица Центр"/>
    <w:basedOn w:val="Normal"/>
    <w:autoRedefine/>
    <w:qFormat/>
    <w:rsid w:val="005f2d16"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27743"/>
    <w:pPr>
      <w:spacing w:before="0" w:after="0"/>
      <w:ind w:left="720" w:hanging="0"/>
      <w:contextualSpacing/>
    </w:pPr>
    <w:rPr/>
  </w:style>
  <w:style w:type="paragraph" w:styleId="Style24" w:customStyle="1">
    <w:name w:val="Табличный"/>
    <w:basedOn w:val="Style19"/>
    <w:link w:val="11"/>
    <w:qFormat/>
    <w:rsid w:val="00c2076a"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 w:customStyle="1">
    <w:name w:val="ConsPlusNormal"/>
    <w:qFormat/>
    <w:rsid w:val="0022501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5" w:customStyle="1">
    <w:name w:val="Содержимое таблицы"/>
    <w:basedOn w:val="Normal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6">
    <w:name w:val="Title"/>
    <w:basedOn w:val="Normal"/>
    <w:uiPriority w:val="1"/>
    <w:qFormat/>
    <w:rsid w:val="009f66dc"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f66dc"/>
    <w:pPr>
      <w:suppressAutoHyphens w:val="false"/>
    </w:pPr>
    <w:rPr>
      <w:sz w:val="22"/>
      <w:szCs w:val="22"/>
      <w:lang w:eastAsia="en-US"/>
    </w:rPr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f07281"/>
    <w:pPr>
      <w:tabs>
        <w:tab w:val="clear" w:pos="864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uiPriority w:val="99"/>
    <w:unhideWhenUsed/>
    <w:rsid w:val="00f07281"/>
    <w:pPr>
      <w:tabs>
        <w:tab w:val="clear" w:pos="864"/>
        <w:tab w:val="center" w:pos="4677" w:leader="none"/>
        <w:tab w:val="right" w:pos="9355" w:leader="none"/>
      </w:tabs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31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24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f66d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31285A40701442CC2737F267886B50DA4CC83A78C9CDD7D73CC3C7D24758797A96C5F339E07A6E0328E6F88D820B7B05D89F495D6Ab8l0G" TargetMode="External"/><Relationship Id="rId4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5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6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7" Type="http://schemas.openxmlformats.org/officeDocument/2006/relationships/hyperlink" Target="consultantplus://offline/ref=31285A40701442CC2737F267886B50DA4CCF3E79CCCED7D73CC3C7D24758797A96C5F331E979655E7DA9F9D1C65C6805DC9F4B5B76818402b5l9G" TargetMode="External"/><Relationship Id="rId8" Type="http://schemas.openxmlformats.org/officeDocument/2006/relationships/hyperlink" Target="https://login.consultant.ru/link/?req=doc&amp;base=RZB&amp;n=480453&amp;dst=100352" TargetMode="External"/><Relationship Id="rId9" Type="http://schemas.openxmlformats.org/officeDocument/2006/relationships/hyperlink" Target="https://login.consultant.ru/link/?req=doc&amp;base=RZB&amp;n=480453&amp;dst=218" TargetMode="External"/><Relationship Id="rId10" Type="http://schemas.openxmlformats.org/officeDocument/2006/relationships/hyperlink" Target="https://login.consultant.ru/link/?req=doc&amp;base=RLAW224&amp;n=136542&amp;dst=100123" TargetMode="External"/><Relationship Id="rId11" Type="http://schemas.openxmlformats.org/officeDocument/2006/relationships/hyperlink" Target="https://login.consultant.ru/link/?req=doc&amp;base=RZB&amp;n=480453&amp;dst=100010" TargetMode="External"/><Relationship Id="rId12" Type="http://schemas.openxmlformats.org/officeDocument/2006/relationships/hyperlink" Target="https://login.consultant.ru/link/?req=doc&amp;base=RZB&amp;n=480453&amp;dst=100010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5F39-1A30-4527-A851-7CAE171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Application>LibreOffice/7.4.3.2$Linux_X86_64 LibreOffice_project/40$Build-2</Application>
  <AppVersion>15.0000</AppVersion>
  <Pages>5</Pages>
  <Words>1259</Words>
  <Characters>9740</Characters>
  <CharactersWithSpaces>11546</CharactersWithSpaces>
  <Paragraphs>63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2024-10-28T17:11:00Z</dcterms:created>
  <dc:creator>Federal1</dc:creator>
  <dc:description/>
  <dc:language>ru-RU</dc:language>
  <cp:lastModifiedBy/>
  <cp:lastPrinted>2024-10-28T17:13:49Z</cp:lastPrinted>
  <dcterms:modified xsi:type="dcterms:W3CDTF">2024-10-28T17:22:38Z</dcterms:modified>
  <cp:revision>62</cp:revision>
  <dc:subject/>
  <dc:title>Приказ комитета Ивановской обл. по государственной охране объектов культурного наследия от 13.07.2016 N 37-о(ред. от 17.09.2024)"Об утверждении Административного регламента комитета Ивановской области по государственной охране объектов культурного наследия предоставления государственной услуги по выдаче задания и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