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E339C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 w:rsid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 w:rsidR="003E339C">
                        <w:rPr>
                          <w:rFonts w:ascii="Tinos" w:eastAsia="Calibri" w:hAnsi="Tinos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2023 г.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Pr="003E339C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 w:rsidR="003E339C"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E339C"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от </w:t>
      </w:r>
      <w:r w:rsidR="00003054" w:rsidRPr="00003054">
        <w:rPr>
          <w:sz w:val="28"/>
          <w:szCs w:val="28"/>
        </w:rPr>
        <w:t>26.05.2017 № 63-о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003054" w:rsidRPr="00003054">
        <w:rPr>
          <w:sz w:val="28"/>
          <w:szCs w:val="28"/>
        </w:rPr>
        <w:t xml:space="preserve">О включении выявленного объекта культурного наследия «Типовой дом для служащих (2-х квартирный)» (Ивановская область, </w:t>
      </w:r>
      <w:proofErr w:type="spellStart"/>
      <w:r w:rsidR="00003054" w:rsidRPr="00003054">
        <w:rPr>
          <w:sz w:val="28"/>
          <w:szCs w:val="28"/>
        </w:rPr>
        <w:t>Вичугский</w:t>
      </w:r>
      <w:proofErr w:type="spellEnd"/>
      <w:r w:rsidR="00003054" w:rsidRPr="00003054">
        <w:rPr>
          <w:sz w:val="28"/>
          <w:szCs w:val="28"/>
        </w:rPr>
        <w:t xml:space="preserve"> район, п. Каменка, Первомайская ул., 4)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«Типовой</w:t>
      </w:r>
      <w:proofErr w:type="gramEnd"/>
      <w:r w:rsidR="00003054" w:rsidRPr="00003054">
        <w:rPr>
          <w:sz w:val="28"/>
          <w:szCs w:val="28"/>
        </w:rPr>
        <w:t xml:space="preserve"> двухквартирный дом для служащих фабрики Коновалова» (Ивановская область, </w:t>
      </w:r>
      <w:proofErr w:type="spellStart"/>
      <w:r w:rsidR="00003054" w:rsidRPr="00003054">
        <w:rPr>
          <w:sz w:val="28"/>
          <w:szCs w:val="28"/>
        </w:rPr>
        <w:t>Вичугский</w:t>
      </w:r>
      <w:proofErr w:type="spellEnd"/>
      <w:r w:rsidR="00003054" w:rsidRPr="00003054">
        <w:rPr>
          <w:sz w:val="28"/>
          <w:szCs w:val="28"/>
        </w:rPr>
        <w:t xml:space="preserve"> район, п. Каменка, ул. 1 Мая, 4)</w:t>
      </w:r>
      <w:r w:rsidR="00B660ED" w:rsidRPr="00B660ED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003054">
        <w:rPr>
          <w:sz w:val="28"/>
          <w:szCs w:val="28"/>
        </w:rPr>
        <w:t xml:space="preserve">от </w:t>
      </w:r>
      <w:r w:rsidR="00003054" w:rsidRPr="00003054">
        <w:rPr>
          <w:sz w:val="28"/>
          <w:szCs w:val="28"/>
        </w:rPr>
        <w:t>26.05.2017 № 63-о</w:t>
      </w:r>
      <w:r w:rsidR="00003054">
        <w:rPr>
          <w:sz w:val="28"/>
          <w:szCs w:val="28"/>
        </w:rPr>
        <w:t xml:space="preserve"> </w:t>
      </w:r>
      <w:r w:rsidR="00003054" w:rsidRPr="00B660ED">
        <w:rPr>
          <w:sz w:val="28"/>
          <w:szCs w:val="28"/>
        </w:rPr>
        <w:t>«</w:t>
      </w:r>
      <w:r w:rsidR="00003054" w:rsidRPr="00003054">
        <w:rPr>
          <w:sz w:val="28"/>
          <w:szCs w:val="28"/>
        </w:rPr>
        <w:t xml:space="preserve">О включении выявленного объекта культурного наследия «Типовой дом для служащих (2-х квартирный)» (Ивановская область, </w:t>
      </w:r>
      <w:proofErr w:type="spellStart"/>
      <w:r w:rsidR="00003054" w:rsidRPr="00003054">
        <w:rPr>
          <w:sz w:val="28"/>
          <w:szCs w:val="28"/>
        </w:rPr>
        <w:t>Вичугский</w:t>
      </w:r>
      <w:proofErr w:type="spellEnd"/>
      <w:r w:rsidR="00003054" w:rsidRPr="00003054">
        <w:rPr>
          <w:sz w:val="28"/>
          <w:szCs w:val="28"/>
        </w:rPr>
        <w:t xml:space="preserve"> район, п. Каменка, Первомайская ул., 4)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003054" w:rsidRPr="00003054">
        <w:rPr>
          <w:sz w:val="28"/>
          <w:szCs w:val="28"/>
        </w:rPr>
        <w:lastRenderedPageBreak/>
        <w:t>«Типовой двухквартирный</w:t>
      </w:r>
      <w:proofErr w:type="gramEnd"/>
      <w:r w:rsidR="00003054" w:rsidRPr="00003054">
        <w:rPr>
          <w:sz w:val="28"/>
          <w:szCs w:val="28"/>
        </w:rPr>
        <w:t xml:space="preserve"> дом для служащих фабрики Коновалова» (Ивановская область, </w:t>
      </w:r>
      <w:proofErr w:type="spellStart"/>
      <w:r w:rsidR="00003054" w:rsidRPr="00003054">
        <w:rPr>
          <w:sz w:val="28"/>
          <w:szCs w:val="28"/>
        </w:rPr>
        <w:t>Вичугский</w:t>
      </w:r>
      <w:proofErr w:type="spellEnd"/>
      <w:r w:rsidR="00003054" w:rsidRPr="00003054">
        <w:rPr>
          <w:sz w:val="28"/>
          <w:szCs w:val="28"/>
        </w:rPr>
        <w:t xml:space="preserve"> район, п. Каменка, ул. 1 Мая, 4)</w:t>
      </w:r>
      <w:r w:rsidR="00B660ED" w:rsidRPr="00B660ED">
        <w:rPr>
          <w:sz w:val="28"/>
          <w:szCs w:val="28"/>
        </w:rPr>
        <w:t xml:space="preserve">» </w:t>
      </w:r>
      <w:r w:rsidR="00B660ED">
        <w:rPr>
          <w:sz w:val="28"/>
          <w:szCs w:val="28"/>
        </w:rPr>
        <w:t>следующие изменения:</w:t>
      </w:r>
    </w:p>
    <w:p w:rsidR="009B7511" w:rsidRDefault="00B660ED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67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003054">
        <w:rPr>
          <w:sz w:val="28"/>
          <w:szCs w:val="28"/>
        </w:rPr>
        <w:t>В н</w:t>
      </w:r>
      <w:r>
        <w:rPr>
          <w:sz w:val="28"/>
          <w:szCs w:val="28"/>
        </w:rPr>
        <w:t>аименовани</w:t>
      </w:r>
      <w:r w:rsidR="00003054">
        <w:rPr>
          <w:sz w:val="28"/>
          <w:szCs w:val="28"/>
        </w:rPr>
        <w:t>и</w:t>
      </w:r>
      <w:r>
        <w:rPr>
          <w:sz w:val="28"/>
          <w:szCs w:val="28"/>
        </w:rPr>
        <w:t xml:space="preserve"> приказа</w:t>
      </w:r>
      <w:r w:rsidR="00003054">
        <w:rPr>
          <w:sz w:val="28"/>
          <w:szCs w:val="28"/>
        </w:rPr>
        <w:t xml:space="preserve">, </w:t>
      </w:r>
      <w:r w:rsidR="00C57932">
        <w:rPr>
          <w:sz w:val="28"/>
          <w:szCs w:val="28"/>
        </w:rPr>
        <w:t xml:space="preserve">в </w:t>
      </w:r>
      <w:r w:rsidR="00003054">
        <w:rPr>
          <w:sz w:val="28"/>
          <w:szCs w:val="28"/>
        </w:rPr>
        <w:t>пунктах 1, 2</w:t>
      </w:r>
      <w:bookmarkStart w:id="0" w:name="_GoBack"/>
      <w:bookmarkEnd w:id="0"/>
      <w:r w:rsidR="00003054">
        <w:rPr>
          <w:sz w:val="28"/>
          <w:szCs w:val="28"/>
        </w:rPr>
        <w:t xml:space="preserve"> приказа</w:t>
      </w:r>
      <w:r w:rsidR="00C57932">
        <w:rPr>
          <w:sz w:val="28"/>
          <w:szCs w:val="28"/>
        </w:rPr>
        <w:t>, в наименованиях разделов приложения к приказу</w:t>
      </w:r>
      <w:r w:rsidR="00003054">
        <w:rPr>
          <w:sz w:val="28"/>
          <w:szCs w:val="28"/>
        </w:rPr>
        <w:t xml:space="preserve"> слова </w:t>
      </w:r>
      <w:r w:rsidR="00C57932" w:rsidRPr="00C44C3D">
        <w:rPr>
          <w:sz w:val="28"/>
          <w:szCs w:val="28"/>
        </w:rPr>
        <w:t xml:space="preserve">«Типовой двухквартирный дом для служащих фабрики Коновалова» (Ивановская область, </w:t>
      </w:r>
      <w:proofErr w:type="spellStart"/>
      <w:r w:rsidR="00C57932" w:rsidRPr="00C44C3D">
        <w:rPr>
          <w:sz w:val="28"/>
          <w:szCs w:val="28"/>
        </w:rPr>
        <w:t>Вичугский</w:t>
      </w:r>
      <w:proofErr w:type="spellEnd"/>
      <w:r w:rsidR="00C57932" w:rsidRPr="00C44C3D">
        <w:rPr>
          <w:sz w:val="28"/>
          <w:szCs w:val="28"/>
        </w:rPr>
        <w:t xml:space="preserve"> район, п. </w:t>
      </w:r>
      <w:r w:rsidR="00C57932">
        <w:rPr>
          <w:sz w:val="28"/>
          <w:szCs w:val="28"/>
        </w:rPr>
        <w:t>Каменка, ул. 1 </w:t>
      </w:r>
      <w:r w:rsidR="00C57932" w:rsidRPr="00C44C3D">
        <w:rPr>
          <w:sz w:val="28"/>
          <w:szCs w:val="28"/>
        </w:rPr>
        <w:t>Мая, 4)</w:t>
      </w:r>
      <w:r w:rsidR="00C57932">
        <w:rPr>
          <w:sz w:val="28"/>
          <w:szCs w:val="28"/>
        </w:rPr>
        <w:t xml:space="preserve">» заменить словами </w:t>
      </w:r>
      <w:r w:rsidR="00C57932" w:rsidRPr="00003054">
        <w:rPr>
          <w:sz w:val="28"/>
          <w:szCs w:val="28"/>
        </w:rPr>
        <w:t>«Типовой двухквартирный дом для служащих фабрики Коновалова»</w:t>
      </w:r>
      <w:r w:rsidR="00C57932">
        <w:rPr>
          <w:sz w:val="28"/>
          <w:szCs w:val="28"/>
        </w:rPr>
        <w:t xml:space="preserve">, </w:t>
      </w:r>
      <w:r w:rsidR="00C57932" w:rsidRPr="00003054">
        <w:rPr>
          <w:rFonts w:eastAsia="Calibri"/>
          <w:bCs/>
          <w:sz w:val="28"/>
          <w:szCs w:val="28"/>
          <w:lang w:eastAsia="ru-RU"/>
        </w:rPr>
        <w:t>начало 1910</w:t>
      </w:r>
      <w:r w:rsidR="00C57932">
        <w:rPr>
          <w:rFonts w:eastAsia="Calibri"/>
          <w:bCs/>
          <w:sz w:val="28"/>
          <w:szCs w:val="28"/>
          <w:lang w:eastAsia="ru-RU"/>
        </w:rPr>
        <w:t>-</w:t>
      </w:r>
      <w:r w:rsidR="00C57932" w:rsidRPr="00003054">
        <w:rPr>
          <w:rFonts w:eastAsia="Calibri"/>
          <w:bCs/>
          <w:sz w:val="28"/>
          <w:szCs w:val="28"/>
          <w:lang w:eastAsia="ru-RU"/>
        </w:rPr>
        <w:t>х годов</w:t>
      </w:r>
      <w:r w:rsidR="00C57932" w:rsidRPr="00003054">
        <w:rPr>
          <w:sz w:val="28"/>
          <w:szCs w:val="28"/>
        </w:rPr>
        <w:t xml:space="preserve"> (Ивановская область, </w:t>
      </w:r>
      <w:proofErr w:type="spellStart"/>
      <w:r w:rsidR="00C57932" w:rsidRPr="00003054">
        <w:rPr>
          <w:sz w:val="28"/>
          <w:szCs w:val="28"/>
        </w:rPr>
        <w:t>Вичугский</w:t>
      </w:r>
      <w:proofErr w:type="spellEnd"/>
      <w:r w:rsidR="00C57932" w:rsidRPr="00003054">
        <w:rPr>
          <w:sz w:val="28"/>
          <w:szCs w:val="28"/>
        </w:rPr>
        <w:t xml:space="preserve"> район, п. Каменка,</w:t>
      </w:r>
      <w:r w:rsidR="00C57932">
        <w:rPr>
          <w:sz w:val="28"/>
          <w:szCs w:val="28"/>
        </w:rPr>
        <w:t xml:space="preserve"> </w:t>
      </w:r>
      <w:r w:rsidR="00C57932" w:rsidRPr="00003054">
        <w:rPr>
          <w:sz w:val="28"/>
          <w:szCs w:val="28"/>
        </w:rPr>
        <w:t>1 Мая ул., 4</w:t>
      </w:r>
      <w:r w:rsidR="00C57932">
        <w:rPr>
          <w:sz w:val="28"/>
          <w:szCs w:val="28"/>
        </w:rPr>
        <w:t>)»;</w:t>
      </w:r>
      <w:proofErr w:type="gramEnd"/>
    </w:p>
    <w:p w:rsidR="00863A39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932">
        <w:rPr>
          <w:sz w:val="28"/>
          <w:szCs w:val="28"/>
        </w:rPr>
        <w:t>2</w:t>
      </w:r>
      <w:r w:rsidR="00863A39">
        <w:rPr>
          <w:sz w:val="28"/>
          <w:szCs w:val="28"/>
        </w:rPr>
        <w:t>. Пункт 3 приказа признать утратившим силу.</w:t>
      </w:r>
    </w:p>
    <w:p w:rsidR="00863A39" w:rsidRDefault="000B67F5" w:rsidP="00C5793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932">
        <w:rPr>
          <w:sz w:val="28"/>
          <w:szCs w:val="28"/>
        </w:rPr>
        <w:t>3</w:t>
      </w:r>
      <w:r w:rsidR="00863A39">
        <w:rPr>
          <w:sz w:val="28"/>
          <w:szCs w:val="28"/>
        </w:rPr>
        <w:t xml:space="preserve">. </w:t>
      </w:r>
      <w:r w:rsidR="00C57932">
        <w:rPr>
          <w:sz w:val="28"/>
          <w:szCs w:val="28"/>
        </w:rPr>
        <w:t xml:space="preserve">Раздел «Координаты </w:t>
      </w:r>
      <w:r w:rsidR="00C57932" w:rsidRPr="00166AD2">
        <w:rPr>
          <w:sz w:val="28"/>
          <w:szCs w:val="28"/>
        </w:rPr>
        <w:t xml:space="preserve">характерных (поворотных) точек </w:t>
      </w:r>
      <w:r w:rsidR="00C57932" w:rsidRPr="006451A3">
        <w:rPr>
          <w:sz w:val="28"/>
          <w:szCs w:val="28"/>
        </w:rPr>
        <w:t>границ</w:t>
      </w:r>
      <w:r w:rsidR="00C57932">
        <w:rPr>
          <w:sz w:val="28"/>
          <w:szCs w:val="28"/>
        </w:rPr>
        <w:t>ы</w:t>
      </w:r>
      <w:r w:rsidR="00C57932" w:rsidRPr="006451A3">
        <w:rPr>
          <w:sz w:val="28"/>
          <w:szCs w:val="28"/>
        </w:rPr>
        <w:t xml:space="preserve"> территории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культурного наследия</w:t>
      </w:r>
      <w:r w:rsidRPr="006A3820">
        <w:rPr>
          <w:sz w:val="28"/>
          <w:szCs w:val="28"/>
        </w:rPr>
        <w:t xml:space="preserve"> местного (муниципального) значения </w:t>
      </w:r>
      <w:r w:rsidRPr="00C44C3D">
        <w:rPr>
          <w:sz w:val="28"/>
          <w:szCs w:val="28"/>
        </w:rPr>
        <w:t xml:space="preserve">«Типовой двухквартирный дом для служащих фабрики Коновалова» (Ивановская область, </w:t>
      </w:r>
      <w:proofErr w:type="spellStart"/>
      <w:r w:rsidRPr="00C44C3D">
        <w:rPr>
          <w:sz w:val="28"/>
          <w:szCs w:val="28"/>
        </w:rPr>
        <w:t>Вичугский</w:t>
      </w:r>
      <w:proofErr w:type="spellEnd"/>
      <w:r w:rsidRPr="00C44C3D">
        <w:rPr>
          <w:sz w:val="28"/>
          <w:szCs w:val="28"/>
        </w:rPr>
        <w:t xml:space="preserve"> район, п. </w:t>
      </w:r>
      <w:r>
        <w:rPr>
          <w:sz w:val="28"/>
          <w:szCs w:val="28"/>
        </w:rPr>
        <w:t>Каменка, ул. 1 </w:t>
      </w:r>
      <w:r w:rsidRPr="00C44C3D">
        <w:rPr>
          <w:sz w:val="28"/>
          <w:szCs w:val="28"/>
        </w:rPr>
        <w:t>Мая, 4)</w:t>
      </w:r>
      <w:r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501613" w:rsidP="0050161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0B67F5" w:rsidRPr="00003054">
        <w:rPr>
          <w:sz w:val="28"/>
          <w:szCs w:val="28"/>
        </w:rPr>
        <w:t>«Типовой двухквартирный дом для служащих фабрики Коновалова»</w:t>
      </w:r>
      <w:r w:rsidR="000B67F5">
        <w:rPr>
          <w:sz w:val="28"/>
          <w:szCs w:val="28"/>
        </w:rPr>
        <w:t xml:space="preserve">, </w:t>
      </w:r>
      <w:r w:rsidR="000B67F5" w:rsidRPr="00003054">
        <w:rPr>
          <w:rFonts w:eastAsia="Calibri"/>
          <w:bCs/>
          <w:sz w:val="28"/>
          <w:szCs w:val="28"/>
          <w:lang w:eastAsia="ru-RU"/>
        </w:rPr>
        <w:t>начало 1910</w:t>
      </w:r>
      <w:r w:rsidR="000B67F5">
        <w:rPr>
          <w:rFonts w:eastAsia="Calibri"/>
          <w:bCs/>
          <w:sz w:val="28"/>
          <w:szCs w:val="28"/>
          <w:lang w:eastAsia="ru-RU"/>
        </w:rPr>
        <w:t>-</w:t>
      </w:r>
      <w:r w:rsidR="000B67F5" w:rsidRPr="00003054">
        <w:rPr>
          <w:rFonts w:eastAsia="Calibri"/>
          <w:bCs/>
          <w:sz w:val="28"/>
          <w:szCs w:val="28"/>
          <w:lang w:eastAsia="ru-RU"/>
        </w:rPr>
        <w:t>х годов</w:t>
      </w:r>
      <w:r w:rsidR="000B67F5" w:rsidRPr="00003054">
        <w:rPr>
          <w:sz w:val="28"/>
          <w:szCs w:val="28"/>
        </w:rPr>
        <w:t xml:space="preserve"> (Ивановская область, </w:t>
      </w:r>
      <w:proofErr w:type="spellStart"/>
      <w:r w:rsidR="000B67F5" w:rsidRPr="00003054">
        <w:rPr>
          <w:sz w:val="28"/>
          <w:szCs w:val="28"/>
        </w:rPr>
        <w:t>Вичугский</w:t>
      </w:r>
      <w:proofErr w:type="spellEnd"/>
      <w:r w:rsidR="000B67F5" w:rsidRPr="00003054">
        <w:rPr>
          <w:sz w:val="28"/>
          <w:szCs w:val="28"/>
        </w:rPr>
        <w:t xml:space="preserve"> район, п. Каменка,</w:t>
      </w:r>
      <w:r w:rsidR="000B67F5">
        <w:rPr>
          <w:sz w:val="28"/>
          <w:szCs w:val="28"/>
        </w:rPr>
        <w:t xml:space="preserve"> </w:t>
      </w:r>
      <w:r w:rsidR="000B67F5" w:rsidRPr="00003054">
        <w:rPr>
          <w:sz w:val="28"/>
          <w:szCs w:val="28"/>
        </w:rPr>
        <w:t>1 Мая ул., 4</w:t>
      </w:r>
      <w:r w:rsidR="000B67F5">
        <w:rPr>
          <w:sz w:val="28"/>
          <w:szCs w:val="28"/>
        </w:rPr>
        <w:t>)</w:t>
      </w:r>
      <w:proofErr w:type="gramEnd"/>
    </w:p>
    <w:p w:rsidR="00501613" w:rsidRPr="00A22C3C" w:rsidRDefault="00501613" w:rsidP="00501613">
      <w:pPr>
        <w:spacing w:after="100" w:afterAutospacing="1"/>
        <w:contextualSpacing/>
        <w:jc w:val="center"/>
        <w:rPr>
          <w:sz w:val="24"/>
          <w:szCs w:val="24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107B87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065E8D" w:rsidRDefault="00107B87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0B67F5" w:rsidP="000B67F5">
            <w:pPr>
              <w:jc w:val="center"/>
              <w:rPr>
                <w:sz w:val="28"/>
                <w:szCs w:val="28"/>
              </w:rPr>
            </w:pPr>
            <w:r w:rsidRPr="000B67F5">
              <w:rPr>
                <w:sz w:val="28"/>
                <w:szCs w:val="28"/>
              </w:rPr>
              <w:t>2264612.77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0B67F5" w:rsidP="00107B87">
            <w:pPr>
              <w:jc w:val="center"/>
              <w:rPr>
                <w:sz w:val="28"/>
                <w:szCs w:val="28"/>
              </w:rPr>
            </w:pPr>
            <w:r w:rsidRPr="000B67F5">
              <w:rPr>
                <w:sz w:val="28"/>
                <w:szCs w:val="28"/>
              </w:rPr>
              <w:t>348916.06</w:t>
            </w:r>
          </w:p>
        </w:tc>
      </w:tr>
      <w:tr w:rsidR="00107B87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Default="00BA796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0B67F5" w:rsidP="00107B87">
            <w:pPr>
              <w:jc w:val="center"/>
              <w:rPr>
                <w:sz w:val="28"/>
                <w:szCs w:val="28"/>
              </w:rPr>
            </w:pPr>
            <w:r w:rsidRPr="000B67F5">
              <w:rPr>
                <w:sz w:val="28"/>
                <w:szCs w:val="28"/>
              </w:rPr>
              <w:t>2264617.57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0B67F5" w:rsidP="00107B87">
            <w:pPr>
              <w:jc w:val="center"/>
              <w:rPr>
                <w:sz w:val="28"/>
                <w:szCs w:val="28"/>
              </w:rPr>
            </w:pPr>
            <w:r w:rsidRPr="000B67F5">
              <w:rPr>
                <w:sz w:val="28"/>
                <w:szCs w:val="28"/>
              </w:rPr>
              <w:t>348885.79</w:t>
            </w:r>
          </w:p>
        </w:tc>
      </w:tr>
      <w:tr w:rsidR="00107B87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Default="00BA796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0B67F5" w:rsidP="00107B87">
            <w:pPr>
              <w:jc w:val="center"/>
              <w:rPr>
                <w:sz w:val="28"/>
                <w:szCs w:val="28"/>
              </w:rPr>
            </w:pPr>
            <w:r w:rsidRPr="000B67F5">
              <w:rPr>
                <w:sz w:val="28"/>
                <w:szCs w:val="28"/>
              </w:rPr>
              <w:t>2264641.13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0B67F5" w:rsidP="00107B87">
            <w:pPr>
              <w:jc w:val="center"/>
              <w:rPr>
                <w:sz w:val="28"/>
                <w:szCs w:val="28"/>
              </w:rPr>
            </w:pPr>
            <w:r w:rsidRPr="000B67F5">
              <w:rPr>
                <w:sz w:val="28"/>
                <w:szCs w:val="28"/>
              </w:rPr>
              <w:t>348887.32</w:t>
            </w:r>
          </w:p>
        </w:tc>
      </w:tr>
      <w:tr w:rsidR="00107B87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Default="00BA796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0B67F5" w:rsidP="00107B87">
            <w:pPr>
              <w:jc w:val="center"/>
              <w:rPr>
                <w:sz w:val="28"/>
                <w:szCs w:val="28"/>
              </w:rPr>
            </w:pPr>
            <w:r w:rsidRPr="000B67F5">
              <w:rPr>
                <w:sz w:val="28"/>
                <w:szCs w:val="28"/>
              </w:rPr>
              <w:t>2264637.78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0B67F5" w:rsidP="00107B87">
            <w:pPr>
              <w:jc w:val="center"/>
              <w:rPr>
                <w:sz w:val="28"/>
                <w:szCs w:val="28"/>
              </w:rPr>
            </w:pPr>
            <w:r w:rsidRPr="000B67F5">
              <w:rPr>
                <w:sz w:val="28"/>
                <w:szCs w:val="28"/>
              </w:rPr>
              <w:t>348917.15</w:t>
            </w:r>
          </w:p>
        </w:tc>
      </w:tr>
      <w:tr w:rsidR="00107B87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Default="00BA796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0B67F5" w:rsidP="00107B87">
            <w:pPr>
              <w:jc w:val="center"/>
              <w:rPr>
                <w:sz w:val="28"/>
                <w:szCs w:val="28"/>
              </w:rPr>
            </w:pPr>
            <w:r w:rsidRPr="000B67F5">
              <w:rPr>
                <w:sz w:val="28"/>
                <w:szCs w:val="28"/>
              </w:rPr>
              <w:t>2264612.77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0B67F5" w:rsidP="00107B87">
            <w:pPr>
              <w:jc w:val="center"/>
              <w:rPr>
                <w:sz w:val="28"/>
                <w:szCs w:val="28"/>
              </w:rPr>
            </w:pPr>
            <w:r w:rsidRPr="000B67F5">
              <w:rPr>
                <w:sz w:val="28"/>
                <w:szCs w:val="28"/>
              </w:rPr>
              <w:t>348916.06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01" w:rsidRDefault="00863201" w:rsidP="00E85028">
      <w:r>
        <w:separator/>
      </w:r>
    </w:p>
  </w:endnote>
  <w:endnote w:type="continuationSeparator" w:id="0">
    <w:p w:rsidR="00863201" w:rsidRDefault="00863201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01" w:rsidRDefault="00863201" w:rsidP="00E85028">
      <w:r>
        <w:separator/>
      </w:r>
    </w:p>
  </w:footnote>
  <w:footnote w:type="continuationSeparator" w:id="0">
    <w:p w:rsidR="00863201" w:rsidRDefault="00863201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0006-91FF-4648-9998-81D74082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12</cp:revision>
  <cp:lastPrinted>2023-12-15T10:00:00Z</cp:lastPrinted>
  <dcterms:created xsi:type="dcterms:W3CDTF">2023-08-18T08:53:00Z</dcterms:created>
  <dcterms:modified xsi:type="dcterms:W3CDTF">2023-12-15T10:00:00Z</dcterms:modified>
</cp:coreProperties>
</file>