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A8" w:rsidRDefault="00B60280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4308475</wp:posOffset>
                </wp:positionH>
                <wp:positionV relativeFrom="paragraph">
                  <wp:posOffset>-475615</wp:posOffset>
                </wp:positionV>
                <wp:extent cx="2165985" cy="1445895"/>
                <wp:effectExtent l="635" t="635" r="635" b="635"/>
                <wp:wrapNone/>
                <wp:docPr id="1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400" cy="1445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81319" w:rsidRDefault="00F81319">
                            <w:pPr>
                              <w:pStyle w:val="afb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color w:val="000000"/>
                                <w:lang w:eastAsia="en-US"/>
                              </w:rPr>
                              <w:t xml:space="preserve">Комитет Ивановской области </w:t>
                            </w:r>
                          </w:p>
                          <w:p w:rsidR="00F81319" w:rsidRDefault="00F81319">
                            <w:pPr>
                              <w:pStyle w:val="afb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color w:val="000000"/>
                                <w:lang w:eastAsia="en-US"/>
                              </w:rPr>
                              <w:t>по государственной охране объектов</w:t>
                            </w:r>
                            <w:r>
                              <w:rPr>
                                <w:rFonts w:ascii="Tinos" w:eastAsia="Calibri" w:hAnsi="Tinos"/>
                                <w:color w:val="000000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nos" w:eastAsia="Calibri" w:hAnsi="Tinos"/>
                                <w:color w:val="000000"/>
                                <w:lang w:eastAsia="en-US"/>
                              </w:rPr>
                              <w:t>культурного наследия</w:t>
                            </w:r>
                          </w:p>
                          <w:p w:rsidR="00F81319" w:rsidRDefault="00F81319">
                            <w:pPr>
                              <w:pStyle w:val="afb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color w:val="000000"/>
                                <w:sz w:val="4"/>
                                <w:szCs w:val="4"/>
                                <w:u w:val="single"/>
                                <w:lang w:eastAsia="en-US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  <w:p w:rsidR="00F81319" w:rsidRDefault="00F81319">
                            <w:pPr>
                              <w:pStyle w:val="afb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(наименование исполнительного органа государственной власти Ивановской области)</w:t>
                            </w:r>
                          </w:p>
                          <w:p w:rsidR="00F81319" w:rsidRDefault="00F81319">
                            <w:pPr>
                              <w:pStyle w:val="afb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F81319" w:rsidRDefault="00F81319">
                            <w:pPr>
                              <w:pStyle w:val="afb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b/>
                                <w:bCs/>
                                <w:color w:val="000000"/>
                                <w:lang w:eastAsia="en-US"/>
                              </w:rPr>
                              <w:t>ЗАРЕГИСТРИРОВАНО</w:t>
                            </w:r>
                          </w:p>
                          <w:p w:rsidR="00F81319" w:rsidRDefault="00F81319">
                            <w:pPr>
                              <w:pStyle w:val="afb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F81319" w:rsidRDefault="00F81319">
                            <w:pPr>
                              <w:pStyle w:val="afb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color w:val="000000"/>
                                <w:lang w:eastAsia="en-US"/>
                              </w:rPr>
                              <w:t>« ______» ______</w:t>
                            </w:r>
                            <w:r>
                              <w:rPr>
                                <w:rFonts w:ascii="Tinos" w:eastAsia="Calibri" w:hAnsi="Tinos"/>
                                <w:color w:val="000000"/>
                                <w:u w:val="single"/>
                                <w:lang w:eastAsia="en-US"/>
                              </w:rPr>
                              <w:t>_</w:t>
                            </w:r>
                            <w:r>
                              <w:rPr>
                                <w:rFonts w:ascii="Tinos" w:eastAsia="Calibri" w:hAnsi="Tinos"/>
                                <w:color w:val="000000"/>
                                <w:lang w:eastAsia="en-US"/>
                              </w:rPr>
                              <w:t>20</w:t>
                            </w:r>
                            <w:r>
                              <w:rPr>
                                <w:rFonts w:ascii="Tinos" w:eastAsia="Calibri" w:hAnsi="Tinos"/>
                                <w:color w:val="000000"/>
                                <w:u w:val="single"/>
                                <w:lang w:eastAsia="en-US"/>
                              </w:rPr>
                              <w:t>26_</w:t>
                            </w:r>
                            <w:r>
                              <w:rPr>
                                <w:rFonts w:ascii="Tinos" w:eastAsia="Calibri" w:hAnsi="Tinos"/>
                                <w:color w:val="000000"/>
                                <w:lang w:eastAsia="en-US"/>
                              </w:rPr>
                              <w:t>г.</w:t>
                            </w:r>
                          </w:p>
                          <w:p w:rsidR="00F81319" w:rsidRDefault="00F81319">
                            <w:pPr>
                              <w:pStyle w:val="afb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81319" w:rsidRDefault="00F81319">
                            <w:pPr>
                              <w:pStyle w:val="afb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color w:val="000000"/>
                                <w:lang w:eastAsia="en-US"/>
                              </w:rPr>
                              <w:t>Регистрационный № ___________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3" stroked="t" style="position:absolute;margin-left:339.25pt;margin-top:-37.45pt;width:170.45pt;height:113.75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Style32"/>
                        <w:tabs>
                          <w:tab w:val="clear" w:pos="720"/>
                          <w:tab w:val="left" w:pos="1226" w:leader="none"/>
                          <w:tab w:val="left" w:pos="1560" w:leader="none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Calibri" w:ascii="Tinos" w:hAnsi="Tinos"/>
                          <w:color w:val="000000"/>
                          <w:lang w:eastAsia="en-US"/>
                        </w:rPr>
                        <w:t xml:space="preserve">Комитет Ивановской области </w:t>
                      </w:r>
                    </w:p>
                    <w:p>
                      <w:pPr>
                        <w:pStyle w:val="Style32"/>
                        <w:tabs>
                          <w:tab w:val="clear" w:pos="720"/>
                          <w:tab w:val="left" w:pos="1226" w:leader="none"/>
                          <w:tab w:val="left" w:pos="1560" w:leader="none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Calibri" w:ascii="Tinos" w:hAnsi="Tinos"/>
                          <w:color w:val="000000"/>
                          <w:lang w:eastAsia="en-US"/>
                        </w:rPr>
                        <w:t>по государственной охране объектов</w:t>
                      </w:r>
                      <w:r>
                        <w:rPr>
                          <w:rFonts w:eastAsia="Calibri" w:ascii="Tinos" w:hAnsi="Tinos"/>
                          <w:color w:val="000000"/>
                          <w:u w:val="single"/>
                          <w:lang w:eastAsia="en-US"/>
                        </w:rPr>
                        <w:t xml:space="preserve"> </w:t>
                      </w:r>
                      <w:r>
                        <w:rPr>
                          <w:rFonts w:eastAsia="Calibri" w:ascii="Tinos" w:hAnsi="Tinos"/>
                          <w:color w:val="000000"/>
                          <w:lang w:eastAsia="en-US"/>
                        </w:rPr>
                        <w:t>культурного наследия</w:t>
                      </w:r>
                    </w:p>
                    <w:p>
                      <w:pPr>
                        <w:pStyle w:val="Style32"/>
                        <w:tabs>
                          <w:tab w:val="clear" w:pos="720"/>
                          <w:tab w:val="left" w:pos="1226" w:leader="none"/>
                          <w:tab w:val="left" w:pos="1560" w:leader="none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Calibri" w:ascii="Tinos" w:hAnsi="Tinos"/>
                          <w:color w:val="000000"/>
                          <w:sz w:val="4"/>
                          <w:szCs w:val="4"/>
                          <w:u w:val="single"/>
                          <w:lang w:eastAsia="en-US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Style32"/>
                        <w:tabs>
                          <w:tab w:val="clear" w:pos="720"/>
                          <w:tab w:val="left" w:pos="1226" w:leader="none"/>
                          <w:tab w:val="left" w:pos="1560" w:leader="none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Calibri" w:ascii="Tinos" w:hAnsi="Tinos"/>
                          <w:color w:val="000000"/>
                          <w:sz w:val="16"/>
                          <w:szCs w:val="16"/>
                          <w:lang w:eastAsia="en-US"/>
                        </w:rPr>
                        <w:t>(наименование исполнительного органа государственной власти Ивановской области)</w:t>
                      </w:r>
                    </w:p>
                    <w:p>
                      <w:pPr>
                        <w:pStyle w:val="Style32"/>
                        <w:tabs>
                          <w:tab w:val="clear" w:pos="720"/>
                          <w:tab w:val="left" w:pos="1226" w:leader="none"/>
                          <w:tab w:val="left" w:pos="1560" w:leader="none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Style32"/>
                        <w:tabs>
                          <w:tab w:val="clear" w:pos="720"/>
                          <w:tab w:val="left" w:pos="1226" w:leader="none"/>
                          <w:tab w:val="left" w:pos="1560" w:leader="none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Calibri" w:ascii="Tinos" w:hAnsi="Tinos"/>
                          <w:b/>
                          <w:bCs/>
                          <w:color w:val="000000"/>
                          <w:lang w:eastAsia="en-US"/>
                        </w:rPr>
                        <w:t>ЗАРЕГИСТРИРОВАНО</w:t>
                      </w:r>
                    </w:p>
                    <w:p>
                      <w:pPr>
                        <w:pStyle w:val="Style32"/>
                        <w:tabs>
                          <w:tab w:val="clear" w:pos="720"/>
                          <w:tab w:val="left" w:pos="1226" w:leader="none"/>
                          <w:tab w:val="left" w:pos="1560" w:leader="none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Style32"/>
                        <w:tabs>
                          <w:tab w:val="clear" w:pos="720"/>
                          <w:tab w:val="left" w:pos="1226" w:leader="none"/>
                          <w:tab w:val="left" w:pos="1560" w:leader="none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Calibri" w:ascii="Tinos" w:hAnsi="Tinos"/>
                          <w:color w:val="000000"/>
                          <w:lang w:eastAsia="en-US"/>
                        </w:rPr>
                        <w:t>« ______» ______</w:t>
                      </w:r>
                      <w:r>
                        <w:rPr>
                          <w:rFonts w:eastAsia="Calibri" w:ascii="Tinos" w:hAnsi="Tinos"/>
                          <w:color w:val="000000"/>
                          <w:u w:val="single"/>
                          <w:lang w:eastAsia="en-US"/>
                        </w:rPr>
                        <w:t>_</w:t>
                      </w:r>
                      <w:r>
                        <w:rPr>
                          <w:rFonts w:eastAsia="Calibri" w:ascii="Tinos" w:hAnsi="Tinos"/>
                          <w:color w:val="000000"/>
                          <w:lang w:eastAsia="en-US"/>
                        </w:rPr>
                        <w:t>20</w:t>
                      </w:r>
                      <w:r>
                        <w:rPr>
                          <w:rFonts w:eastAsia="Calibri" w:ascii="Tinos" w:hAnsi="Tinos"/>
                          <w:color w:val="000000"/>
                          <w:u w:val="single"/>
                          <w:lang w:eastAsia="en-US"/>
                        </w:rPr>
                        <w:t>26_</w:t>
                      </w:r>
                      <w:r>
                        <w:rPr>
                          <w:rFonts w:eastAsia="Calibri" w:ascii="Tinos" w:hAnsi="Tinos"/>
                          <w:color w:val="000000"/>
                          <w:lang w:eastAsia="en-US"/>
                        </w:rPr>
                        <w:t>г.</w:t>
                      </w:r>
                    </w:p>
                    <w:p>
                      <w:pPr>
                        <w:pStyle w:val="Style32"/>
                        <w:tabs>
                          <w:tab w:val="clear" w:pos="720"/>
                          <w:tab w:val="left" w:pos="1226" w:leader="none"/>
                          <w:tab w:val="left" w:pos="1560" w:leader="none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32"/>
                        <w:tabs>
                          <w:tab w:val="clear" w:pos="720"/>
                          <w:tab w:val="left" w:pos="1226" w:leader="none"/>
                          <w:tab w:val="left" w:pos="1560" w:leader="none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Calibri" w:ascii="Tinos" w:hAnsi="Tinos"/>
                          <w:color w:val="000000"/>
                          <w:lang w:eastAsia="en-US"/>
                        </w:rPr>
                        <w:t>Регистрационный № 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sz w:val="2"/>
          <w:szCs w:val="2"/>
          <w:lang w:eastAsia="ru-RU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2775585</wp:posOffset>
            </wp:positionH>
            <wp:positionV relativeFrom="paragraph">
              <wp:posOffset>361950</wp:posOffset>
            </wp:positionV>
            <wp:extent cx="922655" cy="691515"/>
            <wp:effectExtent l="0" t="0" r="0" b="0"/>
            <wp:wrapTopAndBottom/>
            <wp:docPr id="3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6A8" w:rsidRDefault="000A56A8">
      <w:pPr>
        <w:jc w:val="center"/>
      </w:pPr>
    </w:p>
    <w:p w:rsidR="000A56A8" w:rsidRDefault="00B60280">
      <w:pPr>
        <w:jc w:val="center"/>
      </w:pPr>
      <w:r>
        <w:rPr>
          <w:b/>
          <w:sz w:val="32"/>
          <w:szCs w:val="32"/>
        </w:rPr>
        <w:t>КОМИТЕТ ИВАНОВСКОЙ ОБЛАСТИ</w:t>
      </w:r>
    </w:p>
    <w:p w:rsidR="000A56A8" w:rsidRDefault="00B60280">
      <w:pPr>
        <w:jc w:val="center"/>
      </w:pPr>
      <w:r>
        <w:rPr>
          <w:b/>
          <w:sz w:val="32"/>
          <w:szCs w:val="32"/>
        </w:rPr>
        <w:t xml:space="preserve">ПО ГОСУДАРСТВЕННОЙ ОХРАНЕ ОБЪЕКТОВ </w:t>
      </w:r>
    </w:p>
    <w:p w:rsidR="000A56A8" w:rsidRDefault="00B60280">
      <w:pPr>
        <w:jc w:val="center"/>
      </w:pPr>
      <w:r>
        <w:rPr>
          <w:b/>
          <w:sz w:val="32"/>
          <w:szCs w:val="32"/>
        </w:rPr>
        <w:t xml:space="preserve">КУЛЬТУРНОГО НАСЛЕДИЯ </w:t>
      </w:r>
    </w:p>
    <w:tbl>
      <w:tblPr>
        <w:tblW w:w="5000" w:type="pct"/>
        <w:tblInd w:w="109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0A56A8">
        <w:trPr>
          <w:trHeight w:val="66"/>
        </w:trPr>
        <w:tc>
          <w:tcPr>
            <w:tcW w:w="10205" w:type="dxa"/>
            <w:tcBorders>
              <w:bottom w:val="single" w:sz="12" w:space="0" w:color="000000"/>
            </w:tcBorders>
          </w:tcPr>
          <w:p w:rsidR="000A56A8" w:rsidRDefault="000A56A8">
            <w:pPr>
              <w:rPr>
                <w:color w:val="000000"/>
                <w:sz w:val="8"/>
                <w:szCs w:val="8"/>
              </w:rPr>
            </w:pPr>
          </w:p>
        </w:tc>
      </w:tr>
    </w:tbl>
    <w:p w:rsidR="000A56A8" w:rsidRDefault="000A56A8">
      <w:pPr>
        <w:widowControl/>
        <w:jc w:val="center"/>
        <w:rPr>
          <w:spacing w:val="80"/>
        </w:rPr>
      </w:pPr>
    </w:p>
    <w:p w:rsidR="000A56A8" w:rsidRDefault="00B60280">
      <w:pPr>
        <w:widowControl/>
        <w:jc w:val="center"/>
      </w:pPr>
      <w:r>
        <w:rPr>
          <w:b/>
          <w:spacing w:val="80"/>
          <w:sz w:val="40"/>
          <w:szCs w:val="40"/>
        </w:rPr>
        <w:t>ПРИКАЗ</w:t>
      </w:r>
    </w:p>
    <w:p w:rsidR="000A56A8" w:rsidRDefault="000A56A8">
      <w:pPr>
        <w:widowControl/>
        <w:contextualSpacing/>
        <w:jc w:val="center"/>
        <w:rPr>
          <w:sz w:val="28"/>
          <w:szCs w:val="28"/>
        </w:rPr>
      </w:pPr>
    </w:p>
    <w:tbl>
      <w:tblPr>
        <w:tblW w:w="4900" w:type="pct"/>
        <w:tblInd w:w="217" w:type="dxa"/>
        <w:tblLayout w:type="fixed"/>
        <w:tblLook w:val="04A0" w:firstRow="1" w:lastRow="0" w:firstColumn="1" w:lastColumn="0" w:noHBand="0" w:noVBand="1"/>
      </w:tblPr>
      <w:tblGrid>
        <w:gridCol w:w="3465"/>
        <w:gridCol w:w="1731"/>
        <w:gridCol w:w="1732"/>
        <w:gridCol w:w="3285"/>
      </w:tblGrid>
      <w:tr w:rsidR="000A56A8">
        <w:trPr>
          <w:trHeight w:val="365"/>
        </w:trPr>
        <w:tc>
          <w:tcPr>
            <w:tcW w:w="3393" w:type="dxa"/>
            <w:shd w:val="clear" w:color="auto" w:fill="auto"/>
          </w:tcPr>
          <w:p w:rsidR="000A56A8" w:rsidRDefault="00B6028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__ 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u w:val="single"/>
              </w:rPr>
              <w:t>26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391" w:type="dxa"/>
            <w:gridSpan w:val="2"/>
            <w:shd w:val="clear" w:color="auto" w:fill="auto"/>
          </w:tcPr>
          <w:p w:rsidR="000A56A8" w:rsidRDefault="00B6028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  <w:tc>
          <w:tcPr>
            <w:tcW w:w="3216" w:type="dxa"/>
            <w:shd w:val="clear" w:color="auto" w:fill="auto"/>
          </w:tcPr>
          <w:p w:rsidR="000A56A8" w:rsidRDefault="00B60280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</w:t>
            </w:r>
            <w:r>
              <w:rPr>
                <w:color w:val="000000"/>
                <w:sz w:val="28"/>
                <w:szCs w:val="28"/>
                <w:u w:val="single"/>
              </w:rPr>
              <w:t>-о_</w:t>
            </w:r>
          </w:p>
        </w:tc>
      </w:tr>
      <w:tr w:rsidR="000A56A8">
        <w:trPr>
          <w:trHeight w:val="365"/>
        </w:trPr>
        <w:tc>
          <w:tcPr>
            <w:tcW w:w="10000" w:type="dxa"/>
            <w:gridSpan w:val="4"/>
            <w:shd w:val="clear" w:color="auto" w:fill="auto"/>
          </w:tcPr>
          <w:p w:rsidR="000A56A8" w:rsidRDefault="000A56A8">
            <w:pPr>
              <w:contextualSpacing/>
              <w:rPr>
                <w:sz w:val="28"/>
                <w:szCs w:val="28"/>
              </w:rPr>
            </w:pPr>
          </w:p>
        </w:tc>
      </w:tr>
      <w:tr w:rsidR="000A56A8">
        <w:trPr>
          <w:trHeight w:val="365"/>
        </w:trPr>
        <w:tc>
          <w:tcPr>
            <w:tcW w:w="10000" w:type="dxa"/>
            <w:gridSpan w:val="4"/>
            <w:shd w:val="clear" w:color="auto" w:fill="auto"/>
          </w:tcPr>
          <w:p w:rsidR="000A56A8" w:rsidRDefault="00B60280">
            <w:pPr>
              <w:jc w:val="center"/>
              <w:rPr>
                <w:rFonts w:ascii="Tinos" w:hAnsi="Tinos"/>
                <w:sz w:val="28"/>
                <w:szCs w:val="28"/>
              </w:rPr>
            </w:pPr>
            <w:bookmarkStart w:id="0" w:name="_GoBack"/>
            <w:r>
              <w:rPr>
                <w:rFonts w:ascii="Tinos" w:hAnsi="Tinos"/>
                <w:sz w:val="28"/>
                <w:szCs w:val="28"/>
              </w:rPr>
              <w:t>О внесении изменений в приказ комитета Ивановской области по государственной охране объектов культурного наследия от 20.12.2022 № 65-о «Об утверждении Административного регламента предоставления государственной услуги «Выдача выписки из единого государственного реестра объектов культурного наследия (памятников истории и культуры) народов Российской Федерации»</w:t>
            </w:r>
            <w:bookmarkEnd w:id="0"/>
          </w:p>
          <w:p w:rsidR="000A56A8" w:rsidRDefault="000A56A8">
            <w:pPr>
              <w:spacing w:line="276" w:lineRule="auto"/>
              <w:contextualSpacing/>
              <w:jc w:val="center"/>
              <w:rPr>
                <w:rFonts w:ascii="Tinos" w:hAnsi="Tinos"/>
                <w:sz w:val="28"/>
                <w:szCs w:val="28"/>
              </w:rPr>
            </w:pPr>
          </w:p>
        </w:tc>
      </w:tr>
      <w:tr w:rsidR="000A56A8">
        <w:trPr>
          <w:trHeight w:val="365"/>
        </w:trPr>
        <w:tc>
          <w:tcPr>
            <w:tcW w:w="10000" w:type="dxa"/>
            <w:gridSpan w:val="4"/>
            <w:shd w:val="clear" w:color="auto" w:fill="auto"/>
          </w:tcPr>
          <w:p w:rsidR="000A56A8" w:rsidRDefault="000A56A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A56A8">
        <w:trPr>
          <w:trHeight w:val="3402"/>
        </w:trPr>
        <w:tc>
          <w:tcPr>
            <w:tcW w:w="10000" w:type="dxa"/>
            <w:gridSpan w:val="4"/>
            <w:shd w:val="clear" w:color="auto" w:fill="auto"/>
          </w:tcPr>
          <w:p w:rsidR="000A56A8" w:rsidRDefault="00B60280">
            <w:pPr>
              <w:spacing w:line="276" w:lineRule="auto"/>
              <w:ind w:firstLine="680"/>
              <w:jc w:val="both"/>
            </w:pPr>
            <w:proofErr w:type="gramStart"/>
            <w:r>
              <w:rPr>
                <w:rFonts w:ascii="Tinos" w:hAnsi="Tinos"/>
                <w:color w:val="000000"/>
                <w:sz w:val="28"/>
                <w:szCs w:val="28"/>
              </w:rPr>
              <w:t xml:space="preserve">В соответствии </w:t>
            </w:r>
            <w:r>
              <w:rPr>
                <w:rFonts w:ascii="Tinos" w:hAnsi="Tinos"/>
                <w:color w:val="000000"/>
                <w:sz w:val="28"/>
                <w:szCs w:val="28"/>
                <w:lang w:val="en-US"/>
              </w:rPr>
              <w:t>c</w:t>
            </w:r>
            <w:r>
              <w:rPr>
                <w:rFonts w:ascii="Tinos" w:hAnsi="Tinos"/>
                <w:color w:val="000000"/>
                <w:sz w:val="28"/>
                <w:szCs w:val="28"/>
              </w:rPr>
              <w:t xml:space="preserve"> федеральными законами от 25.06.2002 № 73-ФЗ</w:t>
            </w:r>
            <w:r>
              <w:rPr>
                <w:rFonts w:ascii="Tinos" w:hAnsi="Tinos"/>
                <w:color w:val="000000"/>
                <w:sz w:val="28"/>
                <w:szCs w:val="28"/>
              </w:rPr>
              <w:br/>
              <w:t xml:space="preserve">«Об объектах культурного наследия (памятниках истории и культуры) народов Российской Федерации», от 27.07.2010 № 210-ФЗ «Об организации предоставления государственных и муниципальных услуг», приказом </w:t>
            </w:r>
            <w:r>
              <w:rPr>
                <w:rFonts w:ascii="Tinos" w:hAnsi="Tinos"/>
                <w:sz w:val="28"/>
                <w:szCs w:val="28"/>
              </w:rPr>
              <w:t>Министерства культуры Российской Федерации от 13.12.2021 № 2089</w:t>
            </w:r>
            <w:r>
              <w:rPr>
                <w:rFonts w:ascii="Tinos" w:hAnsi="Tinos"/>
                <w:sz w:val="28"/>
                <w:szCs w:val="28"/>
              </w:rPr>
              <w:br/>
              <w:t>«Об утверждении формы выписки из единого государственного реестра объектов культурного наследия (памятников истории и культуры) народов Российской Федерации и порядка ее выдачи федеральным</w:t>
            </w:r>
            <w:proofErr w:type="gramEnd"/>
            <w:r>
              <w:rPr>
                <w:rFonts w:ascii="Tinos" w:hAnsi="Tinos"/>
                <w:sz w:val="28"/>
                <w:szCs w:val="28"/>
              </w:rPr>
              <w:t xml:space="preserve"> органом охраны объектов культурного наследия и региональными органами охраны объектов культурного наследия», постановлением Правительства Ивановской области</w:t>
            </w:r>
            <w:r>
              <w:rPr>
                <w:rFonts w:ascii="Tinos" w:hAnsi="Tinos"/>
                <w:sz w:val="28"/>
                <w:szCs w:val="28"/>
              </w:rPr>
              <w:br/>
              <w:t>от 07.03.2023 № 95-п «Об утверждении Порядка разработки и утверждения административных регламентов предоставления государственных услуг»</w:t>
            </w:r>
            <w:r>
              <w:rPr>
                <w:rFonts w:ascii="Tinos" w:hAnsi="Tinos"/>
                <w:sz w:val="28"/>
                <w:szCs w:val="28"/>
              </w:rPr>
              <w:br/>
            </w:r>
            <w:proofErr w:type="gramStart"/>
            <w:r>
              <w:rPr>
                <w:rFonts w:ascii="Tinos" w:hAnsi="Tinos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nos" w:hAnsi="Tinos"/>
                <w:color w:val="000000"/>
                <w:sz w:val="28"/>
                <w:szCs w:val="28"/>
              </w:rPr>
              <w:t xml:space="preserve"> р и к а з ы в а ю:</w:t>
            </w:r>
          </w:p>
          <w:p w:rsidR="000A56A8" w:rsidRDefault="00B60280">
            <w:pPr>
              <w:pStyle w:val="ConsPlusTitle"/>
              <w:spacing w:line="276" w:lineRule="auto"/>
              <w:ind w:firstLine="709"/>
              <w:jc w:val="both"/>
            </w:pPr>
            <w:r>
              <w:rPr>
                <w:rFonts w:ascii="Tinos" w:hAnsi="Tinos" w:cs="Times New Roman"/>
                <w:b w:val="0"/>
                <w:color w:val="000000"/>
                <w:sz w:val="28"/>
                <w:szCs w:val="28"/>
              </w:rPr>
              <w:t>1. Внести в приказ комитета Ивановской области по государственной охране объект</w:t>
            </w:r>
            <w:bookmarkStart w:id="1" w:name="_GoBack11"/>
            <w:bookmarkEnd w:id="1"/>
            <w:r>
              <w:rPr>
                <w:rFonts w:ascii="Tinos" w:hAnsi="Tinos" w:cs="Times New Roman"/>
                <w:b w:val="0"/>
                <w:color w:val="000000"/>
                <w:sz w:val="28"/>
                <w:szCs w:val="28"/>
              </w:rPr>
              <w:t>ов культурного наследия от 20.12.2022 № 65-о «Об утверждении Административного регламента предоставления государственной услуги «Выдача выписки из единого государственного реестра объектов культурного наследия (памятников истории и культуры) народов Российской Федерации» следующие изменения:</w:t>
            </w:r>
          </w:p>
          <w:p w:rsidR="000A56A8" w:rsidRDefault="00B60280">
            <w:pPr>
              <w:pStyle w:val="ConsPlusTitle"/>
              <w:spacing w:line="276" w:lineRule="auto"/>
              <w:ind w:firstLine="709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 w:cs="Times New Roman"/>
                <w:b w:val="0"/>
                <w:color w:val="000000"/>
                <w:sz w:val="28"/>
                <w:szCs w:val="28"/>
              </w:rPr>
              <w:t>в приложении к приказу:</w:t>
            </w:r>
          </w:p>
          <w:p w:rsidR="000A56A8" w:rsidRDefault="00B60280">
            <w:pPr>
              <w:pStyle w:val="ConsPlusTitle"/>
              <w:spacing w:line="276" w:lineRule="auto"/>
              <w:ind w:firstLine="709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 w:cs="Times New Roman"/>
                <w:b w:val="0"/>
                <w:color w:val="000000"/>
                <w:sz w:val="28"/>
                <w:szCs w:val="28"/>
              </w:rPr>
              <w:lastRenderedPageBreak/>
              <w:t>1.1. Пункт 1.2 изложить в следующей редакции:</w:t>
            </w:r>
          </w:p>
          <w:p w:rsidR="000A56A8" w:rsidRDefault="00B60280">
            <w:pPr>
              <w:pStyle w:val="ConsPlusTitle"/>
              <w:spacing w:line="276" w:lineRule="auto"/>
              <w:ind w:firstLine="709"/>
              <w:jc w:val="both"/>
            </w:pPr>
            <w:r>
              <w:rPr>
                <w:rFonts w:ascii="Tinos" w:hAnsi="Tinos" w:cs="Times New Roman"/>
                <w:b w:val="0"/>
                <w:color w:val="000000"/>
                <w:sz w:val="28"/>
                <w:szCs w:val="28"/>
              </w:rPr>
              <w:t xml:space="preserve">«1.2. Заявителем, обратившимся в комитет Ивановской области </w:t>
            </w:r>
            <w:r>
              <w:rPr>
                <w:rFonts w:ascii="Tinos" w:hAnsi="Tinos"/>
                <w:b w:val="0"/>
                <w:sz w:val="28"/>
                <w:szCs w:val="28"/>
              </w:rPr>
              <w:t xml:space="preserve">по государственной охране объектов культурного наследия с запросом о предоставлении государственной услуги, является физическое лицо или юридическое лицо (далее </w:t>
            </w:r>
            <w:r>
              <w:rPr>
                <w:rFonts w:ascii="Tinos" w:hAnsi="Tinos" w:hint="eastAsia"/>
                <w:b w:val="0"/>
                <w:sz w:val="28"/>
                <w:szCs w:val="28"/>
              </w:rPr>
              <w:t>–</w:t>
            </w:r>
            <w:r>
              <w:rPr>
                <w:rFonts w:ascii="Tinos" w:hAnsi="Tinos"/>
                <w:b w:val="0"/>
                <w:sz w:val="28"/>
                <w:szCs w:val="28"/>
              </w:rPr>
              <w:t xml:space="preserve"> заявитель). Интересы заявителя может представлять лицо, обладающее соответствующими полномочиями (далее </w:t>
            </w:r>
            <w:r>
              <w:rPr>
                <w:rFonts w:ascii="Tinos" w:hAnsi="Tinos" w:hint="eastAsia"/>
                <w:b w:val="0"/>
                <w:sz w:val="28"/>
                <w:szCs w:val="28"/>
              </w:rPr>
              <w:t>–</w:t>
            </w:r>
            <w:r>
              <w:rPr>
                <w:rFonts w:ascii="Tinos" w:hAnsi="Tinos"/>
                <w:b w:val="0"/>
                <w:sz w:val="28"/>
                <w:szCs w:val="28"/>
              </w:rPr>
              <w:t xml:space="preserve"> представитель)</w:t>
            </w:r>
            <w:proofErr w:type="gramStart"/>
            <w:r>
              <w:rPr>
                <w:rFonts w:ascii="Tinos" w:hAnsi="Tinos"/>
                <w:b w:val="0"/>
                <w:sz w:val="28"/>
                <w:szCs w:val="28"/>
              </w:rPr>
              <w:t>.»</w:t>
            </w:r>
            <w:proofErr w:type="gramEnd"/>
            <w:r>
              <w:rPr>
                <w:rFonts w:ascii="Tinos" w:hAnsi="Tinos"/>
                <w:b w:val="0"/>
                <w:sz w:val="28"/>
                <w:szCs w:val="28"/>
              </w:rPr>
              <w:t xml:space="preserve">. </w:t>
            </w:r>
          </w:p>
          <w:p w:rsidR="000A56A8" w:rsidRDefault="00B60280">
            <w:pPr>
              <w:pStyle w:val="ConsPlusTitle"/>
              <w:spacing w:line="276" w:lineRule="auto"/>
              <w:ind w:firstLine="709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 w:cs="Times New Roman"/>
                <w:b w:val="0"/>
                <w:color w:val="000000"/>
                <w:sz w:val="28"/>
                <w:szCs w:val="28"/>
              </w:rPr>
              <w:t>1.2. Пункт 1.3 изложить в следующей редакции:</w:t>
            </w:r>
          </w:p>
          <w:p w:rsidR="000A56A8" w:rsidRDefault="00B60280">
            <w:pPr>
              <w:pStyle w:val="ConsPlusTitle"/>
              <w:spacing w:line="276" w:lineRule="auto"/>
              <w:ind w:firstLine="709"/>
              <w:jc w:val="both"/>
            </w:pPr>
            <w:r>
              <w:rPr>
                <w:rFonts w:ascii="Tinos" w:hAnsi="Tinos" w:cs="Times New Roman"/>
                <w:b w:val="0"/>
                <w:color w:val="000000"/>
                <w:sz w:val="28"/>
                <w:szCs w:val="28"/>
              </w:rPr>
              <w:t xml:space="preserve">«1.3. </w:t>
            </w:r>
            <w:r>
              <w:rPr>
                <w:rFonts w:ascii="Tinos" w:hAnsi="Tinos"/>
                <w:b w:val="0"/>
                <w:sz w:val="28"/>
                <w:szCs w:val="28"/>
              </w:rPr>
              <w:t xml:space="preserve">Государственная услуга должна быть предоставлена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(далее соответственно </w:t>
            </w:r>
            <w:r>
              <w:rPr>
                <w:rFonts w:ascii="Tinos" w:hAnsi="Tinos" w:hint="eastAsia"/>
                <w:b w:val="0"/>
                <w:sz w:val="28"/>
                <w:szCs w:val="28"/>
              </w:rPr>
              <w:t>–</w:t>
            </w:r>
            <w:r>
              <w:rPr>
                <w:rFonts w:ascii="Tinos" w:hAnsi="Tinos"/>
                <w:b w:val="0"/>
                <w:sz w:val="28"/>
                <w:szCs w:val="28"/>
              </w:rPr>
              <w:t xml:space="preserve"> категории (признаки) заявителей, ЕПГУ)</w:t>
            </w:r>
            <w:proofErr w:type="gramStart"/>
            <w:r>
              <w:rPr>
                <w:rFonts w:ascii="Tinos" w:hAnsi="Tinos"/>
                <w:b w:val="0"/>
                <w:sz w:val="28"/>
                <w:szCs w:val="28"/>
              </w:rPr>
              <w:t>.»</w:t>
            </w:r>
            <w:proofErr w:type="gramEnd"/>
            <w:r>
              <w:rPr>
                <w:rFonts w:ascii="Tinos" w:hAnsi="Tinos"/>
                <w:b w:val="0"/>
                <w:sz w:val="28"/>
                <w:szCs w:val="28"/>
              </w:rPr>
              <w:t xml:space="preserve">. </w:t>
            </w:r>
          </w:p>
          <w:p w:rsidR="000A56A8" w:rsidRDefault="00B60280">
            <w:pPr>
              <w:spacing w:line="276" w:lineRule="auto"/>
              <w:ind w:firstLine="709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  <w:lang w:eastAsia="ru-RU"/>
              </w:rPr>
              <w:t>1.3. Пункт 2.3.1 изложить в следующей редакции:</w:t>
            </w:r>
          </w:p>
          <w:p w:rsidR="000A56A8" w:rsidRDefault="00B60280">
            <w:pPr>
              <w:spacing w:line="276" w:lineRule="auto"/>
              <w:ind w:firstLine="709"/>
              <w:jc w:val="both"/>
            </w:pPr>
            <w:r>
              <w:rPr>
                <w:rFonts w:ascii="Tinos" w:hAnsi="Tinos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nos" w:hAnsi="Tinos"/>
                <w:sz w:val="28"/>
                <w:szCs w:val="28"/>
              </w:rPr>
              <w:t xml:space="preserve">2.3.1. 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 xml:space="preserve">Выдача </w:t>
            </w:r>
            <w:r>
              <w:rPr>
                <w:rFonts w:ascii="Tinos" w:hAnsi="Tinos"/>
                <w:color w:val="0000FF"/>
                <w:sz w:val="28"/>
                <w:szCs w:val="28"/>
              </w:rPr>
              <w:t>выписки</w:t>
            </w:r>
            <w:r>
              <w:rPr>
                <w:rFonts w:ascii="Tinos" w:hAnsi="Tinos"/>
                <w:sz w:val="28"/>
                <w:szCs w:val="28"/>
              </w:rPr>
              <w:t xml:space="preserve"> из единого государственного реестра объектов культурного наследия (памятников истории и культуры) народов Российской Федерации в виде электронного документа или документа на бумажном носителе (по выбору заявителя) по форме, утвержденной приказом Министерства культуры Российской Федерации от 13.12.2021 № 2089 «Об утверждении формы выписки из единого государственного реестра объектов культурного наследия (памятников истории и культуры) народов Российской Федерации и порядка ее</w:t>
            </w:r>
            <w:proofErr w:type="gramEnd"/>
            <w:r>
              <w:rPr>
                <w:rFonts w:ascii="Tinos" w:hAnsi="Tinos"/>
                <w:sz w:val="28"/>
                <w:szCs w:val="28"/>
              </w:rPr>
              <w:t xml:space="preserve"> выдачи федеральным органом охраны объектов культурного наследия и региональными органами охраны объектов культурного наследия». К выписке из единого государственного реестра объектов культурного наследия (памятников истории и культуры) народов Российской Федерации прилагается копия акта органа охраны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 с указанием количества листов в нем.». </w:t>
            </w:r>
          </w:p>
          <w:p w:rsidR="000A56A8" w:rsidRDefault="00B60280">
            <w:pPr>
              <w:spacing w:line="276" w:lineRule="auto"/>
              <w:ind w:firstLine="709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  <w:lang w:eastAsia="ru-RU"/>
              </w:rPr>
              <w:t>1.4. В пункте 2.4:</w:t>
            </w:r>
          </w:p>
          <w:p w:rsidR="000A56A8" w:rsidRDefault="00B60280">
            <w:pPr>
              <w:spacing w:line="276" w:lineRule="auto"/>
              <w:ind w:firstLine="709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  <w:lang w:eastAsia="ru-RU"/>
              </w:rPr>
              <w:t>1.4.1. В абзаце втором слова «на Портале» заменить словами «на ЕПГУ».</w:t>
            </w:r>
          </w:p>
          <w:p w:rsidR="000A56A8" w:rsidRDefault="00B60280">
            <w:pPr>
              <w:spacing w:line="276" w:lineRule="auto"/>
              <w:ind w:firstLine="709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  <w:lang w:eastAsia="ru-RU"/>
              </w:rPr>
              <w:t>1.4.2. В абзаце третьем слово «</w:t>
            </w:r>
            <w:r>
              <w:rPr>
                <w:rFonts w:ascii="Tinos" w:hAnsi="Tinos"/>
                <w:sz w:val="28"/>
                <w:szCs w:val="28"/>
              </w:rPr>
              <w:t>заявителю» заменить словом «заявителем».</w:t>
            </w:r>
          </w:p>
          <w:p w:rsidR="000A56A8" w:rsidRDefault="00B60280">
            <w:pPr>
              <w:spacing w:line="276" w:lineRule="auto"/>
              <w:ind w:firstLine="709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  <w:lang w:eastAsia="ru-RU"/>
              </w:rPr>
              <w:t>1.5. Пункт 2.5 изложить в следующей редакции:</w:t>
            </w:r>
          </w:p>
          <w:p w:rsidR="000A56A8" w:rsidRDefault="00B60280">
            <w:pPr>
              <w:spacing w:line="276" w:lineRule="auto"/>
              <w:ind w:firstLine="709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  <w:lang w:eastAsia="ru-RU"/>
              </w:rPr>
              <w:t xml:space="preserve">«2.5. </w:t>
            </w:r>
            <w:r>
              <w:rPr>
                <w:rFonts w:ascii="Tinos" w:hAnsi="Tinos"/>
                <w:sz w:val="28"/>
                <w:szCs w:val="28"/>
              </w:rPr>
              <w:t>Необходимость формирования реестровой записи отсутствует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 xml:space="preserve">.». </w:t>
            </w:r>
            <w:proofErr w:type="gramEnd"/>
          </w:p>
          <w:p w:rsidR="000A56A8" w:rsidRDefault="00B60280">
            <w:pPr>
              <w:spacing w:line="276" w:lineRule="auto"/>
              <w:ind w:firstLine="709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  <w:lang w:eastAsia="ru-RU"/>
              </w:rPr>
              <w:t>1.6. В пункте 2.9.3 слова «</w:t>
            </w:r>
            <w:r>
              <w:rPr>
                <w:rFonts w:ascii="Tinos" w:hAnsi="Tinos"/>
                <w:sz w:val="28"/>
                <w:szCs w:val="28"/>
              </w:rPr>
              <w:t>по выдаче задания или разрешения» исключить.</w:t>
            </w:r>
          </w:p>
          <w:p w:rsidR="000A56A8" w:rsidRDefault="00B60280">
            <w:pPr>
              <w:spacing w:line="276" w:lineRule="auto"/>
              <w:ind w:firstLine="709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1.7. Пункты 2.10, 2.11 признать утратившими силу.</w:t>
            </w:r>
          </w:p>
          <w:p w:rsidR="000A56A8" w:rsidRDefault="00B60280">
            <w:pPr>
              <w:spacing w:line="276" w:lineRule="auto"/>
              <w:ind w:firstLine="709"/>
              <w:jc w:val="both"/>
            </w:pPr>
            <w:r>
              <w:rPr>
                <w:rFonts w:ascii="Tinos" w:hAnsi="Tinos"/>
                <w:sz w:val="28"/>
                <w:szCs w:val="28"/>
              </w:rPr>
              <w:t xml:space="preserve">1.8. В пункте 2.12 слова «на Портале» заменить словами «на ЕПГУ». </w:t>
            </w:r>
          </w:p>
          <w:p w:rsidR="000A56A8" w:rsidRDefault="00B60280">
            <w:pPr>
              <w:spacing w:line="276" w:lineRule="auto"/>
              <w:ind w:firstLine="709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1.9. Пункты 2.13, 2.14 признать утратившими силу.</w:t>
            </w:r>
          </w:p>
          <w:p w:rsidR="000A56A8" w:rsidRDefault="00B60280">
            <w:pPr>
              <w:spacing w:line="276" w:lineRule="auto"/>
              <w:ind w:firstLine="709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1.10. В пункте 2.15 слова «на Портале» заменить словами «на ЕПГУ».</w:t>
            </w:r>
          </w:p>
          <w:p w:rsidR="000A56A8" w:rsidRDefault="00B60280">
            <w:pPr>
              <w:spacing w:line="276" w:lineRule="auto"/>
              <w:ind w:firstLine="709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lastRenderedPageBreak/>
              <w:t>1.11. Пункт 2.20 изложить в следующей редакции:</w:t>
            </w:r>
          </w:p>
          <w:p w:rsidR="000A56A8" w:rsidRDefault="00B60280">
            <w:pPr>
              <w:spacing w:line="276" w:lineRule="auto"/>
              <w:ind w:firstLine="709"/>
              <w:jc w:val="both"/>
            </w:pPr>
            <w:r>
              <w:rPr>
                <w:rFonts w:ascii="Tinos" w:hAnsi="Tinos"/>
                <w:sz w:val="28"/>
                <w:szCs w:val="28"/>
              </w:rPr>
              <w:t xml:space="preserve">«2.20. Исчерпывающий </w:t>
            </w:r>
            <w:r>
              <w:rPr>
                <w:rFonts w:ascii="Tinos" w:hAnsi="Tinos"/>
                <w:color w:val="0000FF"/>
                <w:sz w:val="28"/>
                <w:szCs w:val="28"/>
              </w:rPr>
              <w:t>перечень</w:t>
            </w:r>
            <w:r>
              <w:rPr>
                <w:rFonts w:ascii="Tinos" w:hAnsi="Tinos"/>
                <w:sz w:val="28"/>
                <w:szCs w:val="28"/>
              </w:rPr>
              <w:t xml:space="preserve"> документов, необходимых для предоставления государственной услуги, который заявитель долж</w:t>
            </w:r>
            <w:r w:rsidR="00F81319">
              <w:rPr>
                <w:rFonts w:ascii="Tinos" w:hAnsi="Tinos"/>
                <w:sz w:val="28"/>
                <w:szCs w:val="28"/>
              </w:rPr>
              <w:t xml:space="preserve">ен представить самостоятельно, </w:t>
            </w:r>
            <w:r>
              <w:rPr>
                <w:rFonts w:ascii="Tinos" w:hAnsi="Tinos"/>
                <w:sz w:val="28"/>
                <w:szCs w:val="28"/>
              </w:rPr>
              <w:t xml:space="preserve">приведен в приложении к административному регламенту.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                            </w:t>
            </w:r>
            <w:r>
              <w:rPr>
                <w:rFonts w:ascii="Tinos" w:hAnsi="Tinos"/>
                <w:sz w:val="28"/>
                <w:szCs w:val="28"/>
              </w:rPr>
              <w:br/>
              <w:t xml:space="preserve">     Форма </w:t>
            </w:r>
            <w:r>
              <w:rPr>
                <w:rFonts w:ascii="Tinos" w:hAnsi="Tinos"/>
                <w:color w:val="0000FF"/>
                <w:sz w:val="28"/>
                <w:szCs w:val="28"/>
              </w:rPr>
              <w:t>запроса</w:t>
            </w:r>
            <w:r>
              <w:rPr>
                <w:rFonts w:ascii="Tinos" w:hAnsi="Tinos"/>
                <w:sz w:val="28"/>
                <w:szCs w:val="28"/>
              </w:rPr>
              <w:t xml:space="preserve"> о предоставлении государственной услуги приведена в приложении к настоящему Административному регламенту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 xml:space="preserve">.». </w:t>
            </w:r>
            <w:proofErr w:type="gramEnd"/>
          </w:p>
          <w:p w:rsidR="000A56A8" w:rsidRDefault="00B60280">
            <w:pPr>
              <w:spacing w:line="276" w:lineRule="auto"/>
              <w:ind w:firstLine="709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1.12. Пункт 2.24 изложить в следующей редакции:</w:t>
            </w:r>
          </w:p>
          <w:p w:rsidR="000A56A8" w:rsidRDefault="00B60280">
            <w:pPr>
              <w:spacing w:line="276" w:lineRule="auto"/>
              <w:ind w:firstLine="709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«2.24. Отказ в предоставлении государственной услуги оформляется в письменной форме и носит мотивированный характер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 xml:space="preserve">.». </w:t>
            </w:r>
            <w:proofErr w:type="gramEnd"/>
          </w:p>
          <w:p w:rsidR="000A56A8" w:rsidRDefault="00B60280">
            <w:pPr>
              <w:spacing w:line="276" w:lineRule="auto"/>
              <w:ind w:firstLine="709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1.13. Пункт 2.26 изложить в следующей редакции:</w:t>
            </w:r>
          </w:p>
          <w:p w:rsidR="000A56A8" w:rsidRDefault="00B60280">
            <w:pPr>
              <w:spacing w:line="276" w:lineRule="auto"/>
              <w:ind w:firstLine="709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«2.26. Исчерпывающий перечень оснований для приостановления предоставления государственной услуги, для отказа в предоставлении государственной услуги приведен в приложении к настоящему Административному регламенту с учетом категории (признаков) заявителя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 xml:space="preserve">.». </w:t>
            </w:r>
            <w:proofErr w:type="gramEnd"/>
          </w:p>
          <w:p w:rsidR="000A56A8" w:rsidRDefault="00B60280">
            <w:pPr>
              <w:spacing w:line="276" w:lineRule="auto"/>
              <w:ind w:firstLine="709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1.14. Пункт 3.1.1 дополнить абзацами следующего содержания:</w:t>
            </w:r>
          </w:p>
          <w:p w:rsidR="000A56A8" w:rsidRDefault="00B60280">
            <w:pPr>
              <w:spacing w:line="276" w:lineRule="auto"/>
              <w:ind w:firstLine="709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 xml:space="preserve">«Состав запроса и перечня документов, необходимых для предоставления государственной услуги в соответствии с категорией (признаками) заявителя, а также способов подачи указанных запроса, документов приведены в приложении к настоящему Административному регламенту. </w:t>
            </w:r>
          </w:p>
          <w:p w:rsidR="000A56A8" w:rsidRDefault="00B60280">
            <w:pPr>
              <w:spacing w:line="276" w:lineRule="auto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 xml:space="preserve">Установление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      </w:r>
            <w:r>
              <w:rPr>
                <w:rFonts w:ascii="Tinos" w:hAnsi="Tinos"/>
                <w:color w:val="0000FF"/>
                <w:sz w:val="28"/>
                <w:szCs w:val="28"/>
              </w:rPr>
              <w:t>законодательством</w:t>
            </w:r>
            <w:r>
              <w:rPr>
                <w:rFonts w:ascii="Tinos" w:hAnsi="Tinos"/>
                <w:sz w:val="28"/>
                <w:szCs w:val="28"/>
              </w:rPr>
              <w:t xml:space="preserve"> Российской Федерации или посредством идентификации и аутентификации в органах, предоставляющих государственные услуги, многофункциональных центрах с использованием информационных технологий и (или) информационных систем в соответствии со статьей 7 Федерального </w:t>
            </w:r>
            <w:r>
              <w:rPr>
                <w:rFonts w:ascii="Tinos" w:hAnsi="Tinos"/>
                <w:color w:val="0000FF"/>
                <w:sz w:val="28"/>
                <w:szCs w:val="28"/>
              </w:rPr>
              <w:t>закона</w:t>
            </w:r>
            <w:r>
              <w:rPr>
                <w:rFonts w:ascii="Tinos" w:hAnsi="Tinos"/>
                <w:sz w:val="28"/>
                <w:szCs w:val="28"/>
              </w:rPr>
              <w:t xml:space="preserve"> от 27.07.2010 № 210-ФЗ «Об организации</w:t>
            </w:r>
            <w:proofErr w:type="gramEnd"/>
            <w:r>
              <w:rPr>
                <w:rFonts w:ascii="Tinos" w:hAnsi="Tinos"/>
                <w:sz w:val="28"/>
                <w:szCs w:val="28"/>
              </w:rPr>
              <w:t xml:space="preserve"> предоставления государственных и муниципальных услуг».</w:t>
            </w:r>
          </w:p>
          <w:p w:rsidR="000A56A8" w:rsidRDefault="00B60280">
            <w:pPr>
              <w:spacing w:line="276" w:lineRule="auto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 xml:space="preserve">        Сведения об основаниях для принятия решения об отказе в приеме запроса и документов приведены в приложении к настоящему Административному регламенту</w:t>
            </w:r>
            <w:proofErr w:type="gramStart"/>
            <w:r w:rsidR="00F81319">
              <w:rPr>
                <w:rFonts w:ascii="Tinos" w:hAnsi="Tinos"/>
                <w:sz w:val="28"/>
                <w:szCs w:val="28"/>
              </w:rPr>
              <w:t>.</w:t>
            </w:r>
            <w:r>
              <w:rPr>
                <w:rFonts w:ascii="Tinos" w:hAnsi="Tinos"/>
                <w:sz w:val="28"/>
                <w:szCs w:val="28"/>
              </w:rPr>
              <w:t xml:space="preserve">». </w:t>
            </w:r>
            <w:proofErr w:type="gramEnd"/>
          </w:p>
          <w:p w:rsidR="000A56A8" w:rsidRDefault="00B60280">
            <w:pPr>
              <w:spacing w:line="276" w:lineRule="auto"/>
              <w:ind w:firstLine="737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1.14. В пункте 3.1.2:</w:t>
            </w:r>
          </w:p>
          <w:p w:rsidR="000A56A8" w:rsidRDefault="00B60280">
            <w:pPr>
              <w:spacing w:line="276" w:lineRule="auto"/>
              <w:ind w:firstLine="737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1.14.1. Абзац пятый изложить в следующей редакции:</w:t>
            </w:r>
          </w:p>
          <w:p w:rsidR="000A56A8" w:rsidRDefault="00B60280">
            <w:pPr>
              <w:spacing w:line="276" w:lineRule="auto"/>
              <w:ind w:firstLine="737"/>
              <w:jc w:val="both"/>
            </w:pPr>
            <w:proofErr w:type="gramStart"/>
            <w:r>
              <w:rPr>
                <w:rFonts w:ascii="Tinos" w:hAnsi="Tinos"/>
                <w:sz w:val="28"/>
                <w:szCs w:val="28"/>
              </w:rPr>
              <w:t xml:space="preserve">«Категория (признаки) заявителя определяются ответственным исполнителем на основании сведений, указанных заявителем в заявлении о предоставлении государственной услуги, поступившем в комитет, и результата </w:t>
            </w:r>
            <w:r>
              <w:rPr>
                <w:rFonts w:ascii="Tinos" w:hAnsi="Tinos"/>
                <w:sz w:val="28"/>
                <w:szCs w:val="28"/>
              </w:rPr>
              <w:lastRenderedPageBreak/>
              <w:t xml:space="preserve">государственной услуги, за предоставлением которого обратился заявитель, путем сопоставления сведений с </w:t>
            </w:r>
            <w:hyperlink r:id="rId8">
              <w:r>
                <w:rPr>
                  <w:rFonts w:ascii="Tinos" w:hAnsi="Tinos"/>
                  <w:color w:val="0000FF"/>
                  <w:sz w:val="28"/>
                  <w:szCs w:val="28"/>
                </w:rPr>
                <w:t>идентификаторами</w:t>
              </w:r>
            </w:hyperlink>
            <w:r>
              <w:rPr>
                <w:rFonts w:ascii="Tinos" w:hAnsi="Tinos"/>
                <w:sz w:val="28"/>
                <w:szCs w:val="28"/>
              </w:rPr>
              <w:t xml:space="preserve"> категорий (признаков) заявителей, предусмотренных приложением к настоящему Административному регламенту, по результатам которого определяется комбинация категорий (признаков) заявителя в соответствии с настоящим Административным регламентом и, соответственно, отдельные</w:t>
            </w:r>
            <w:proofErr w:type="gramEnd"/>
            <w:r>
              <w:rPr>
                <w:rFonts w:ascii="Tinos" w:hAnsi="Tinos"/>
                <w:sz w:val="28"/>
                <w:szCs w:val="28"/>
              </w:rPr>
              <w:t xml:space="preserve"> особенности предоставления государственной услуги с учетом категории (признаков) заявителя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>.».</w:t>
            </w:r>
            <w:proofErr w:type="gramEnd"/>
          </w:p>
          <w:p w:rsidR="000A56A8" w:rsidRDefault="00B60280">
            <w:pPr>
              <w:spacing w:line="276" w:lineRule="auto"/>
              <w:ind w:firstLine="737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1.14.2. Абзац шестой признать утратившим силу.</w:t>
            </w:r>
          </w:p>
          <w:p w:rsidR="000A56A8" w:rsidRDefault="00B60280">
            <w:pPr>
              <w:spacing w:line="276" w:lineRule="auto"/>
              <w:ind w:firstLine="737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1.16. Пункта 3.1.3 дополнить абзацем следующего содержания:</w:t>
            </w:r>
          </w:p>
          <w:p w:rsidR="000A56A8" w:rsidRDefault="00B60280">
            <w:pPr>
              <w:spacing w:line="276" w:lineRule="auto"/>
              <w:ind w:firstLine="737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«Основания для отказа в предоставлении государственной услуги приведены в приложении к настоящему Административному регламенту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 xml:space="preserve">.». </w:t>
            </w:r>
            <w:proofErr w:type="gramEnd"/>
          </w:p>
          <w:p w:rsidR="000A56A8" w:rsidRDefault="00B60280">
            <w:pPr>
              <w:spacing w:line="276" w:lineRule="auto"/>
              <w:ind w:firstLine="737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1.15. Пункт 3.1.4 изложить в следующей редакции:</w:t>
            </w:r>
          </w:p>
          <w:p w:rsidR="000A56A8" w:rsidRDefault="00B60280">
            <w:pPr>
              <w:spacing w:line="276" w:lineRule="auto"/>
              <w:ind w:firstLine="737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«3.1.4. Направление (выдача) результата предоставления государственной услуги:</w:t>
            </w:r>
          </w:p>
          <w:p w:rsidR="000A56A8" w:rsidRDefault="00B60280">
            <w:pPr>
              <w:spacing w:line="276" w:lineRule="auto"/>
              <w:ind w:firstLine="737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 xml:space="preserve">при обращении за предоставлением государственной услуги в виде </w:t>
            </w:r>
            <w:r w:rsidR="00F81319">
              <w:rPr>
                <w:rFonts w:ascii="Tinos" w:hAnsi="Tinos"/>
                <w:sz w:val="28"/>
                <w:szCs w:val="28"/>
              </w:rPr>
              <w:t xml:space="preserve">документа на бумажном носителе </w:t>
            </w:r>
            <w:r w:rsidR="00F81319">
              <w:rPr>
                <w:rFonts w:ascii="Tinos" w:hAnsi="Tinos" w:hint="eastAsia"/>
                <w:sz w:val="28"/>
                <w:szCs w:val="28"/>
              </w:rPr>
              <w:t>–</w:t>
            </w:r>
            <w:r>
              <w:rPr>
                <w:rFonts w:ascii="Tinos" w:hAnsi="Tinos"/>
                <w:sz w:val="28"/>
                <w:szCs w:val="28"/>
              </w:rPr>
              <w:t xml:space="preserve"> не более 2 рабочих дней 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>с даты подписания</w:t>
            </w:r>
            <w:proofErr w:type="gramEnd"/>
            <w:r>
              <w:rPr>
                <w:rFonts w:ascii="Tinos" w:hAnsi="Tinos"/>
                <w:sz w:val="28"/>
                <w:szCs w:val="28"/>
              </w:rPr>
              <w:t xml:space="preserve"> решения о предоставлении государственной услуги либо об отказе в предоставлении государственной услуги;</w:t>
            </w:r>
          </w:p>
          <w:p w:rsidR="000A56A8" w:rsidRDefault="00B60280">
            <w:pPr>
              <w:spacing w:line="276" w:lineRule="auto"/>
              <w:ind w:firstLine="737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 xml:space="preserve">при обращении за предоставлением государственной услуги в электронной форме через личный кабинет на ЕПГУ </w:t>
            </w:r>
            <w:r w:rsidR="00F81319">
              <w:rPr>
                <w:rFonts w:ascii="Tinos" w:hAnsi="Tinos" w:hint="eastAsia"/>
                <w:sz w:val="28"/>
                <w:szCs w:val="28"/>
              </w:rPr>
              <w:t>–</w:t>
            </w:r>
            <w:r>
              <w:rPr>
                <w:rFonts w:ascii="Tinos" w:hAnsi="Tinos"/>
                <w:sz w:val="28"/>
                <w:szCs w:val="28"/>
              </w:rPr>
              <w:t xml:space="preserve"> не более 1 рабочего дня 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>с даты подписания</w:t>
            </w:r>
            <w:proofErr w:type="gramEnd"/>
            <w:r>
              <w:rPr>
                <w:rFonts w:ascii="Tinos" w:hAnsi="Tinos"/>
                <w:sz w:val="28"/>
                <w:szCs w:val="28"/>
              </w:rPr>
              <w:t xml:space="preserve"> решения о предоставлении государственной услуги либо об отказе в предоставлении государственной услуги;</w:t>
            </w:r>
          </w:p>
          <w:p w:rsidR="000A56A8" w:rsidRDefault="00B60280">
            <w:pPr>
              <w:spacing w:line="276" w:lineRule="auto"/>
              <w:ind w:firstLine="737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 xml:space="preserve">при обращении за предоставлением государственной услуги через многофункциональный центр срок предоставления государственной услуги </w:t>
            </w:r>
            <w:r w:rsidR="00F81319">
              <w:rPr>
                <w:rFonts w:ascii="Tinos" w:hAnsi="Tinos" w:hint="eastAsia"/>
                <w:sz w:val="28"/>
                <w:szCs w:val="28"/>
              </w:rPr>
              <w:t>–</w:t>
            </w:r>
            <w:r>
              <w:rPr>
                <w:rFonts w:ascii="Tinos" w:hAnsi="Tinos"/>
                <w:sz w:val="28"/>
                <w:szCs w:val="28"/>
              </w:rPr>
              <w:t xml:space="preserve"> не более 3 рабочих дней 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>с даты подписания</w:t>
            </w:r>
            <w:proofErr w:type="gramEnd"/>
            <w:r>
              <w:rPr>
                <w:rFonts w:ascii="Tinos" w:hAnsi="Tinos"/>
                <w:sz w:val="28"/>
                <w:szCs w:val="28"/>
              </w:rPr>
              <w:t xml:space="preserve"> решения о предоставлении государственной услуги либо об отказе в предоставлении государственной услуги.</w:t>
            </w:r>
          </w:p>
          <w:p w:rsidR="000A56A8" w:rsidRDefault="00B60280">
            <w:pPr>
              <w:spacing w:line="276" w:lineRule="auto"/>
              <w:ind w:firstLine="737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Направление (выдача) результата предоставления государственной услуги способами, указанными в абзацах втором, третьим настоящего пункта, возможно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>.»</w:t>
            </w:r>
            <w:proofErr w:type="gramEnd"/>
            <w:r>
              <w:rPr>
                <w:rFonts w:ascii="Tinos" w:hAnsi="Tinos"/>
                <w:sz w:val="28"/>
                <w:szCs w:val="28"/>
              </w:rPr>
              <w:t>.</w:t>
            </w:r>
          </w:p>
          <w:p w:rsidR="000A56A8" w:rsidRDefault="00B60280">
            <w:pPr>
              <w:spacing w:line="276" w:lineRule="auto"/>
              <w:ind w:firstLine="737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 xml:space="preserve">1.16. В </w:t>
            </w:r>
            <w:r w:rsidR="00CB0282">
              <w:rPr>
                <w:rFonts w:ascii="Tinos" w:hAnsi="Tinos"/>
                <w:sz w:val="28"/>
                <w:szCs w:val="28"/>
              </w:rPr>
              <w:t>пункт</w:t>
            </w:r>
            <w:r w:rsidR="00CB0282">
              <w:rPr>
                <w:rFonts w:ascii="Tinos" w:hAnsi="Tinos"/>
                <w:sz w:val="28"/>
                <w:szCs w:val="28"/>
              </w:rPr>
              <w:t>е</w:t>
            </w:r>
            <w:r w:rsidR="00CB0282">
              <w:rPr>
                <w:rFonts w:ascii="Tinos" w:hAnsi="Tinos"/>
                <w:sz w:val="28"/>
                <w:szCs w:val="28"/>
              </w:rPr>
              <w:t xml:space="preserve"> 3.3 </w:t>
            </w:r>
            <w:r>
              <w:rPr>
                <w:rFonts w:ascii="Tinos" w:hAnsi="Tinos"/>
                <w:sz w:val="28"/>
                <w:szCs w:val="28"/>
              </w:rPr>
              <w:t>абзац четвертый изложить в следующей редакции:</w:t>
            </w:r>
          </w:p>
          <w:p w:rsidR="000A56A8" w:rsidRDefault="00B60280">
            <w:pPr>
              <w:spacing w:line="276" w:lineRule="auto"/>
              <w:ind w:firstLine="737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«- посредством направления информации в личный кабинет на ЕПГУ (при обращении за предоставлением государственной услуги через ЕПГУ)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>.»</w:t>
            </w:r>
            <w:proofErr w:type="gramEnd"/>
            <w:r>
              <w:rPr>
                <w:rFonts w:ascii="Tinos" w:hAnsi="Tinos"/>
                <w:sz w:val="28"/>
                <w:szCs w:val="28"/>
              </w:rPr>
              <w:t xml:space="preserve">. </w:t>
            </w:r>
          </w:p>
          <w:p w:rsidR="000A56A8" w:rsidRDefault="00B60280">
            <w:pPr>
              <w:spacing w:line="276" w:lineRule="auto"/>
              <w:ind w:firstLine="737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1.17. Приложение к Административному регламенту после таблицы «Исчерпывающий перечень документов, необходимых для предоставления государственной услуги» дополнить абзацем следующего содержания:</w:t>
            </w:r>
          </w:p>
          <w:p w:rsidR="000A56A8" w:rsidRDefault="00B60280">
            <w:pPr>
              <w:spacing w:line="276" w:lineRule="auto"/>
              <w:ind w:firstLine="737"/>
              <w:jc w:val="both"/>
            </w:pPr>
            <w:r>
              <w:rPr>
                <w:rFonts w:ascii="Tinos" w:hAnsi="Tinos"/>
                <w:sz w:val="28"/>
                <w:szCs w:val="28"/>
              </w:rPr>
              <w:t>«Требования к пред</w:t>
            </w:r>
            <w:r w:rsidR="00CB0282">
              <w:rPr>
                <w:rFonts w:ascii="Tinos" w:hAnsi="Tinos"/>
                <w:sz w:val="28"/>
                <w:szCs w:val="28"/>
              </w:rPr>
              <w:t>о</w:t>
            </w:r>
            <w:r>
              <w:rPr>
                <w:rFonts w:ascii="Tinos" w:hAnsi="Tinos"/>
                <w:sz w:val="28"/>
                <w:szCs w:val="28"/>
              </w:rPr>
              <w:t>ставлению документов заявителем, включая требования к формату, количеству, пред</w:t>
            </w:r>
            <w:r w:rsidR="00CB0282">
              <w:rPr>
                <w:rFonts w:ascii="Tinos" w:hAnsi="Tinos"/>
                <w:sz w:val="28"/>
                <w:szCs w:val="28"/>
              </w:rPr>
              <w:t>о</w:t>
            </w:r>
            <w:r>
              <w:rPr>
                <w:rFonts w:ascii="Tinos" w:hAnsi="Tinos"/>
                <w:sz w:val="28"/>
                <w:szCs w:val="28"/>
              </w:rPr>
              <w:t xml:space="preserve">ставлению документов только отдельными </w:t>
            </w:r>
            <w:r>
              <w:rPr>
                <w:rFonts w:ascii="Tinos" w:hAnsi="Tinos"/>
                <w:sz w:val="28"/>
                <w:szCs w:val="28"/>
              </w:rPr>
              <w:lastRenderedPageBreak/>
              <w:t>категориями заявителей, и иные необходимые требования отсутствуют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 xml:space="preserve">.». </w:t>
            </w:r>
            <w:proofErr w:type="gramEnd"/>
          </w:p>
          <w:p w:rsidR="000A56A8" w:rsidRDefault="00B60280">
            <w:pPr>
              <w:spacing w:line="276" w:lineRule="auto"/>
              <w:ind w:firstLine="709"/>
              <w:jc w:val="both"/>
            </w:pPr>
            <w:hyperlink r:id="rId9">
              <w:r>
                <w:rPr>
                  <w:color w:val="000000"/>
                  <w:sz w:val="28"/>
                  <w:szCs w:val="28"/>
                </w:rPr>
                <w:t>2. Настоящий приказ вступает в силу после дня его официального опубликования.</w:t>
              </w:r>
            </w:hyperlink>
          </w:p>
          <w:p w:rsidR="000A56A8" w:rsidRDefault="000A56A8">
            <w:pPr>
              <w:spacing w:line="276" w:lineRule="auto"/>
              <w:ind w:firstLine="864"/>
              <w:rPr>
                <w:rFonts w:ascii="Arial" w:hAnsi="Arial"/>
                <w:szCs w:val="28"/>
              </w:rPr>
            </w:pPr>
          </w:p>
        </w:tc>
      </w:tr>
      <w:tr w:rsidR="000A56A8">
        <w:trPr>
          <w:trHeight w:val="365"/>
        </w:trPr>
        <w:tc>
          <w:tcPr>
            <w:tcW w:w="10000" w:type="dxa"/>
            <w:gridSpan w:val="4"/>
            <w:shd w:val="clear" w:color="auto" w:fill="auto"/>
          </w:tcPr>
          <w:p w:rsidR="000A56A8" w:rsidRDefault="000A56A8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A56A8">
        <w:trPr>
          <w:trHeight w:val="365"/>
        </w:trPr>
        <w:tc>
          <w:tcPr>
            <w:tcW w:w="5088" w:type="dxa"/>
            <w:gridSpan w:val="2"/>
            <w:shd w:val="clear" w:color="auto" w:fill="auto"/>
          </w:tcPr>
          <w:p w:rsidR="000A56A8" w:rsidRDefault="00B6028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0A56A8" w:rsidRDefault="00B6028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Ивановской области по государственной охране объектов культурного наследия</w:t>
            </w:r>
          </w:p>
        </w:tc>
        <w:tc>
          <w:tcPr>
            <w:tcW w:w="4912" w:type="dxa"/>
            <w:gridSpan w:val="2"/>
            <w:shd w:val="clear" w:color="auto" w:fill="auto"/>
            <w:vAlign w:val="bottom"/>
          </w:tcPr>
          <w:p w:rsidR="000A56A8" w:rsidRDefault="00B60280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</w:t>
            </w:r>
            <w:r>
              <w:rPr>
                <w:sz w:val="28"/>
                <w:szCs w:val="28"/>
              </w:rPr>
              <w:t>. Макаров</w:t>
            </w:r>
          </w:p>
        </w:tc>
      </w:tr>
    </w:tbl>
    <w:p w:rsidR="000A56A8" w:rsidRDefault="000A56A8">
      <w:pPr>
        <w:contextualSpacing/>
        <w:jc w:val="center"/>
        <w:rPr>
          <w:sz w:val="28"/>
          <w:szCs w:val="28"/>
        </w:rPr>
      </w:pPr>
    </w:p>
    <w:sectPr w:rsidR="000A56A8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F75B9"/>
    <w:multiLevelType w:val="multilevel"/>
    <w:tmpl w:val="11FC3A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0A56A8"/>
    <w:rsid w:val="000A56A8"/>
    <w:rsid w:val="00A951AA"/>
    <w:rsid w:val="00B60280"/>
    <w:rsid w:val="00CB0282"/>
    <w:rsid w:val="00F8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A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uiPriority w:val="1"/>
    <w:qFormat/>
    <w:rsid w:val="009F66DC"/>
    <w:pPr>
      <w:suppressAutoHyphens w:val="0"/>
      <w:spacing w:before="39"/>
      <w:ind w:left="374" w:right="465"/>
      <w:jc w:val="center"/>
      <w:outlineLvl w:val="0"/>
    </w:pPr>
    <w:rPr>
      <w:rFonts w:ascii="Bookman Old Style" w:eastAsia="Bookman Old Style" w:hAnsi="Bookman Old Style" w:cs="Bookman Old Style"/>
      <w:sz w:val="27"/>
      <w:szCs w:val="27"/>
      <w:lang w:eastAsia="en-US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uiPriority w:val="99"/>
    <w:semiHidden/>
    <w:qFormat/>
    <w:rsid w:val="00F1240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Табличный Знак1"/>
    <w:qFormat/>
    <w:rsid w:val="00C2076A"/>
    <w:rPr>
      <w:rFonts w:ascii="Arial" w:eastAsia="Times New Roman" w:hAnsi="Arial" w:cs="Arial"/>
      <w:sz w:val="18"/>
      <w:szCs w:val="24"/>
      <w:lang w:eastAsia="ar-SA"/>
    </w:rPr>
  </w:style>
  <w:style w:type="character" w:customStyle="1" w:styleId="a6">
    <w:name w:val="Основной текст Знак"/>
    <w:basedOn w:val="a2"/>
    <w:uiPriority w:val="99"/>
    <w:semiHidden/>
    <w:qFormat/>
    <w:rsid w:val="00C207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">
    <w:name w:val="Гиперссылка1"/>
    <w:basedOn w:val="a2"/>
    <w:uiPriority w:val="99"/>
    <w:unhideWhenUsed/>
    <w:qFormat/>
    <w:rsid w:val="006871F9"/>
    <w:rPr>
      <w:color w:val="0000FF" w:themeColor="hyperlink"/>
      <w:u w:val="single"/>
    </w:rPr>
  </w:style>
  <w:style w:type="character" w:customStyle="1" w:styleId="12">
    <w:name w:val="Заголовок 1 Знак"/>
    <w:basedOn w:val="a2"/>
    <w:uiPriority w:val="1"/>
    <w:qFormat/>
    <w:rsid w:val="009F66DC"/>
    <w:rPr>
      <w:rFonts w:ascii="Bookman Old Style" w:eastAsia="Bookman Old Style" w:hAnsi="Bookman Old Style" w:cs="Bookman Old Style"/>
      <w:sz w:val="27"/>
      <w:szCs w:val="27"/>
    </w:rPr>
  </w:style>
  <w:style w:type="character" w:customStyle="1" w:styleId="a7">
    <w:name w:val="Название Знак"/>
    <w:basedOn w:val="a2"/>
    <w:uiPriority w:val="1"/>
    <w:qFormat/>
    <w:rsid w:val="009F66DC"/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Верхний колонтитул Знак"/>
    <w:basedOn w:val="a2"/>
    <w:uiPriority w:val="99"/>
    <w:qFormat/>
    <w:rsid w:val="00F072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2"/>
    <w:uiPriority w:val="99"/>
    <w:qFormat/>
    <w:rsid w:val="00F072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-">
    <w:name w:val="Интернет-ссылка"/>
    <w:rPr>
      <w:color w:val="000080"/>
      <w:u w:val="single"/>
    </w:rPr>
  </w:style>
  <w:style w:type="character" w:styleId="aa">
    <w:name w:val="annotation reference"/>
    <w:basedOn w:val="a2"/>
    <w:uiPriority w:val="99"/>
    <w:semiHidden/>
    <w:unhideWhenUsed/>
    <w:qFormat/>
    <w:rsid w:val="007303EC"/>
    <w:rPr>
      <w:sz w:val="16"/>
      <w:szCs w:val="16"/>
    </w:rPr>
  </w:style>
  <w:style w:type="character" w:customStyle="1" w:styleId="ab">
    <w:name w:val="Текст примечания Знак"/>
    <w:basedOn w:val="a2"/>
    <w:uiPriority w:val="99"/>
    <w:semiHidden/>
    <w:qFormat/>
    <w:rsid w:val="007303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Тема примечания Знак"/>
    <w:basedOn w:val="ab"/>
    <w:uiPriority w:val="99"/>
    <w:semiHidden/>
    <w:qFormat/>
    <w:rsid w:val="007303E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d">
    <w:name w:val="Strong"/>
    <w:basedOn w:val="a2"/>
    <w:uiPriority w:val="22"/>
    <w:qFormat/>
    <w:rsid w:val="004C1419"/>
    <w:rPr>
      <w:b/>
      <w:b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uiPriority w:val="1"/>
    <w:unhideWhenUsed/>
    <w:qFormat/>
    <w:rsid w:val="00C2076A"/>
    <w:pPr>
      <w:spacing w:after="120"/>
    </w:pPr>
  </w:style>
  <w:style w:type="paragraph" w:styleId="ae">
    <w:name w:val="List"/>
    <w:basedOn w:val="a1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F1240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f1">
    <w:name w:val="No Spacing"/>
    <w:uiPriority w:val="1"/>
    <w:qFormat/>
    <w:rsid w:val="00F1240A"/>
    <w:rPr>
      <w:rFonts w:cs="Times New Roman"/>
    </w:rPr>
  </w:style>
  <w:style w:type="paragraph" w:styleId="af2">
    <w:name w:val="Balloon Text"/>
    <w:basedOn w:val="a"/>
    <w:uiPriority w:val="99"/>
    <w:semiHidden/>
    <w:unhideWhenUsed/>
    <w:qFormat/>
    <w:rsid w:val="00F1240A"/>
    <w:rPr>
      <w:rFonts w:ascii="Tahoma" w:hAnsi="Tahoma" w:cs="Tahoma"/>
      <w:sz w:val="16"/>
      <w:szCs w:val="16"/>
    </w:rPr>
  </w:style>
  <w:style w:type="paragraph" w:customStyle="1" w:styleId="af3">
    <w:name w:val="Таблица Центр"/>
    <w:basedOn w:val="a"/>
    <w:autoRedefine/>
    <w:qFormat/>
    <w:rsid w:val="005F2D16"/>
    <w:pPr>
      <w:widowControl/>
      <w:suppressAutoHyphens w:val="0"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styleId="af4">
    <w:name w:val="List Paragraph"/>
    <w:basedOn w:val="a"/>
    <w:uiPriority w:val="1"/>
    <w:qFormat/>
    <w:rsid w:val="00E27743"/>
    <w:pPr>
      <w:ind w:left="720"/>
      <w:contextualSpacing/>
    </w:pPr>
  </w:style>
  <w:style w:type="paragraph" w:customStyle="1" w:styleId="af5">
    <w:name w:val="Табличный"/>
    <w:basedOn w:val="a1"/>
    <w:qFormat/>
    <w:rsid w:val="00C2076A"/>
    <w:pPr>
      <w:widowControl/>
      <w:spacing w:after="0" w:line="100" w:lineRule="atLeast"/>
    </w:pPr>
    <w:rPr>
      <w:rFonts w:ascii="Arial" w:hAnsi="Arial" w:cs="Arial"/>
      <w:sz w:val="18"/>
      <w:szCs w:val="24"/>
    </w:rPr>
  </w:style>
  <w:style w:type="paragraph" w:customStyle="1" w:styleId="ConsPlusNormal">
    <w:name w:val="ConsPlusNormal"/>
    <w:qFormat/>
    <w:rsid w:val="0022501F"/>
    <w:pPr>
      <w:widowControl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6">
    <w:name w:val="Содержимое таблицы"/>
    <w:basedOn w:val="a"/>
    <w:qFormat/>
    <w:rsid w:val="0022501F"/>
    <w:pPr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f7">
    <w:name w:val="Title"/>
    <w:basedOn w:val="a"/>
    <w:uiPriority w:val="1"/>
    <w:qFormat/>
    <w:rsid w:val="009F66DC"/>
    <w:pPr>
      <w:suppressAutoHyphens w:val="0"/>
      <w:spacing w:before="1"/>
      <w:ind w:left="345" w:right="465"/>
      <w:jc w:val="center"/>
    </w:pPr>
    <w:rPr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F66DC"/>
    <w:pPr>
      <w:suppressAutoHyphens w:val="0"/>
    </w:pPr>
    <w:rPr>
      <w:sz w:val="22"/>
      <w:szCs w:val="22"/>
      <w:lang w:eastAsia="en-US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07281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unhideWhenUsed/>
    <w:rsid w:val="00F07281"/>
    <w:pPr>
      <w:tabs>
        <w:tab w:val="center" w:pos="4677"/>
        <w:tab w:val="right" w:pos="9355"/>
      </w:tabs>
    </w:pPr>
  </w:style>
  <w:style w:type="paragraph" w:customStyle="1" w:styleId="afb">
    <w:name w:val="Содержимое врезки"/>
    <w:basedOn w:val="a"/>
    <w:qFormat/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c">
    <w:name w:val="Заголовок таблицы"/>
    <w:basedOn w:val="af6"/>
    <w:qFormat/>
    <w:pPr>
      <w:jc w:val="center"/>
    </w:pPr>
    <w:rPr>
      <w:b/>
      <w:bCs/>
    </w:rPr>
  </w:style>
  <w:style w:type="paragraph" w:styleId="afd">
    <w:name w:val="Normal (Web)"/>
    <w:basedOn w:val="a"/>
    <w:uiPriority w:val="99"/>
    <w:unhideWhenUsed/>
    <w:qFormat/>
    <w:rsid w:val="003D6EBF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styleId="afe">
    <w:name w:val="annotation text"/>
    <w:basedOn w:val="a"/>
    <w:uiPriority w:val="99"/>
    <w:semiHidden/>
    <w:unhideWhenUsed/>
    <w:qFormat/>
    <w:rsid w:val="007303EC"/>
  </w:style>
  <w:style w:type="paragraph" w:styleId="aff">
    <w:name w:val="annotation subject"/>
    <w:basedOn w:val="afe"/>
    <w:next w:val="afe"/>
    <w:uiPriority w:val="99"/>
    <w:semiHidden/>
    <w:unhideWhenUsed/>
    <w:qFormat/>
    <w:rsid w:val="007303EC"/>
    <w:rPr>
      <w:b/>
      <w:bCs/>
    </w:rPr>
  </w:style>
  <w:style w:type="table" w:styleId="aff0">
    <w:name w:val="Table Grid"/>
    <w:basedOn w:val="a3"/>
    <w:rsid w:val="0002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F66D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4&amp;n=202475&amp;dst=101086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224&amp;n=202475&amp;dst=1010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36641-2FCE-4A00-AC15-369F5A1E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комитета Ивановской обл. по государственной охране объектов культурного наследия от 20.12.2022 N 65-о(ред. от 25.02.2026)"Об утверждении Административного регламента предоставления государственной услуги "Выдача выписки из единого государственного </vt:lpstr>
    </vt:vector>
  </TitlesOfParts>
  <Company>КонсультантПлюс Версия 4026.00.02</Company>
  <LinksUpToDate>false</LinksUpToDate>
  <CharactersWithSpaces>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Ивановской обл. по государственной охране объектов культурного наследия от 20.12.2022 N 65-о(ред. от 25.02.2026)"Об утверждении Административного регламента предоставления государственной услуги "Выдача выписки из единого государственного реестра объектов культурного наследия (памятников истории и культуры) народов Российской Федерации"</dc:title>
  <dc:subject/>
  <dc:creator>Federal1</dc:creator>
  <dc:description/>
  <cp:lastModifiedBy>Pam5</cp:lastModifiedBy>
  <cp:revision>33</cp:revision>
  <cp:lastPrinted>2025-11-28T15:53:00Z</cp:lastPrinted>
  <dcterms:created xsi:type="dcterms:W3CDTF">2026-06-16T18:06:00Z</dcterms:created>
  <dcterms:modified xsi:type="dcterms:W3CDTF">2026-06-17T09:01:00Z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4026.00.02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