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4308475</wp:posOffset>
                </wp:positionH>
                <wp:positionV relativeFrom="paragraph">
                  <wp:posOffset>-475615</wp:posOffset>
                </wp:positionV>
                <wp:extent cx="2181225" cy="1461135"/>
                <wp:effectExtent l="0" t="0" r="0" b="0"/>
                <wp:wrapNone/>
                <wp:docPr id="1" name="Фи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520" cy="146052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rFonts w:ascii="Tinos" w:hAnsi="Tinos" w:eastAsia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 xml:space="preserve">Комитет Ивановской области 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/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>по государственной охране объектов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u w:val="single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>культурного наследия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rFonts w:ascii="Tinos" w:hAnsi="Tinos" w:eastAsia="Calibri"/>
                                <w:color w:val="000000"/>
                                <w:sz w:val="4"/>
                                <w:szCs w:val="4"/>
                                <w:u w:val="single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sz w:val="4"/>
                                <w:szCs w:val="4"/>
                                <w:u w:val="single"/>
                                <w:lang w:eastAsia="en-US"/>
                              </w:rPr>
                              <w:t>_____________________________________________________________________________________________________________________________________________________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rFonts w:ascii="Tinos" w:hAnsi="Tinos" w:eastAsia="Calibri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(наименование исполнительного органа государственной власти Ивановской области)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rFonts w:ascii="Tinos" w:hAnsi="Tinos" w:eastAsia="Calibri"/>
                                <w:b/>
                                <w:b/>
                                <w:bCs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="Tinos" w:hAnsi="Tinos"/>
                                <w:b/>
                                <w:bCs/>
                                <w:color w:val="000000"/>
                                <w:lang w:eastAsia="en-US"/>
                              </w:rPr>
                              <w:t>ЗАРЕГИСТРИРОВАНО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/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>« ____» ____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u w:val="single"/>
                                <w:lang w:eastAsia="en-US"/>
                              </w:rPr>
                              <w:t>_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>20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u w:val="single"/>
                                <w:lang w:eastAsia="en-US"/>
                              </w:rPr>
                              <w:t>26_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>г.</w:t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32"/>
                              <w:tabs>
                                <w:tab w:val="clear" w:pos="720"/>
                                <w:tab w:val="left" w:pos="1226" w:leader="none"/>
                                <w:tab w:val="left" w:pos="1560" w:leader="none"/>
                              </w:tabs>
                              <w:jc w:val="center"/>
                              <w:rPr/>
                            </w:pPr>
                            <w:r>
                              <w:rPr>
                                <w:rFonts w:eastAsia="Calibri" w:ascii="Tinos" w:hAnsi="Tinos"/>
                                <w:color w:val="000000"/>
                                <w:lang w:eastAsia="en-US"/>
                              </w:rPr>
                              <w:t xml:space="preserve">Регистрационный № </w:t>
                            </w:r>
                            <w:r>
                              <w:rPr>
                                <w:rFonts w:eastAsia="Calibri" w:ascii="Tinos" w:hAnsi="Tinos"/>
                                <w:color w:val="000000"/>
                                <w:sz w:val="20"/>
                                <w:szCs w:val="20"/>
                                <w:shd w:fill="auto" w:val="clear"/>
                                <w:lang w:eastAsia="en-US"/>
                              </w:rPr>
                              <w:t>__________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Фигура3" stroked="t" style="position:absolute;margin-left:339.25pt;margin-top:-37.45pt;width:171.65pt;height:114.9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rFonts w:ascii="Tinos" w:hAnsi="Tinos" w:eastAsia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 xml:space="preserve">Комитет Ивановской области 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/>
                      </w:pP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>по государственной охране объектов</w:t>
                      </w:r>
                      <w:r>
                        <w:rPr>
                          <w:rFonts w:eastAsia="Calibri" w:ascii="Tinos" w:hAnsi="Tinos"/>
                          <w:color w:val="000000"/>
                          <w:u w:val="single"/>
                          <w:lang w:eastAsia="en-US"/>
                        </w:rPr>
                        <w:t xml:space="preserve"> </w:t>
                      </w: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>культурного наследия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rFonts w:ascii="Tinos" w:hAnsi="Tinos" w:eastAsia="Calibri"/>
                          <w:color w:val="000000"/>
                          <w:sz w:val="4"/>
                          <w:szCs w:val="4"/>
                          <w:u w:val="single"/>
                          <w:lang w:eastAsia="en-US"/>
                        </w:rPr>
                      </w:pPr>
                      <w:r>
                        <w:rPr>
                          <w:rFonts w:eastAsia="Calibri" w:ascii="Tinos" w:hAnsi="Tinos"/>
                          <w:color w:val="000000"/>
                          <w:sz w:val="4"/>
                          <w:szCs w:val="4"/>
                          <w:u w:val="single"/>
                          <w:lang w:eastAsia="en-US"/>
                        </w:rPr>
                        <w:t>_____________________________________________________________________________________________________________________________________________________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rFonts w:ascii="Tinos" w:hAnsi="Tinos" w:eastAsia="Calibri"/>
                          <w:color w:val="00000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eastAsia="Calibri" w:ascii="Tinos" w:hAnsi="Tinos"/>
                          <w:color w:val="000000"/>
                          <w:sz w:val="16"/>
                          <w:szCs w:val="16"/>
                          <w:lang w:eastAsia="en-US"/>
                        </w:rPr>
                        <w:t>(наименование исполнительного органа государственной власти Ивановской области)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rFonts w:ascii="Tinos" w:hAnsi="Tinos" w:eastAsia="Calibri"/>
                          <w:b/>
                          <w:b/>
                          <w:bCs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ascii="Tinos" w:hAnsi="Tinos"/>
                          <w:b/>
                          <w:bCs/>
                          <w:color w:val="000000"/>
                          <w:lang w:eastAsia="en-US"/>
                        </w:rPr>
                        <w:t>ЗАРЕГИСТРИРОВАНО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/>
                      </w:pP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>« ____» ____</w:t>
                      </w:r>
                      <w:r>
                        <w:rPr>
                          <w:rFonts w:eastAsia="Calibri" w:ascii="Tinos" w:hAnsi="Tinos"/>
                          <w:color w:val="000000"/>
                          <w:u w:val="single"/>
                          <w:lang w:eastAsia="en-US"/>
                        </w:rPr>
                        <w:t>_</w:t>
                      </w: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>20</w:t>
                      </w:r>
                      <w:r>
                        <w:rPr>
                          <w:rFonts w:eastAsia="Calibri" w:ascii="Tinos" w:hAnsi="Tinos"/>
                          <w:color w:val="000000"/>
                          <w:u w:val="single"/>
                          <w:lang w:eastAsia="en-US"/>
                        </w:rPr>
                        <w:t>26_</w:t>
                      </w: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>г.</w:t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32"/>
                        <w:tabs>
                          <w:tab w:val="clear" w:pos="720"/>
                          <w:tab w:val="left" w:pos="1226" w:leader="none"/>
                          <w:tab w:val="left" w:pos="1560" w:leader="none"/>
                        </w:tabs>
                        <w:jc w:val="center"/>
                        <w:rPr/>
                      </w:pPr>
                      <w:r>
                        <w:rPr>
                          <w:rFonts w:eastAsia="Calibri" w:ascii="Tinos" w:hAnsi="Tinos"/>
                          <w:color w:val="000000"/>
                          <w:lang w:eastAsia="en-US"/>
                        </w:rPr>
                        <w:t xml:space="preserve">Регистрационный № </w:t>
                      </w:r>
                      <w:r>
                        <w:rPr>
                          <w:rFonts w:eastAsia="Calibri" w:ascii="Tinos" w:hAnsi="Tinos"/>
                          <w:color w:val="000000"/>
                          <w:sz w:val="20"/>
                          <w:szCs w:val="20"/>
                          <w:shd w:fill="auto" w:val="clear"/>
                          <w:lang w:eastAsia="en-US"/>
                        </w:rPr>
                        <w:t>__________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2775585</wp:posOffset>
            </wp:positionH>
            <wp:positionV relativeFrom="paragraph">
              <wp:posOffset>361950</wp:posOffset>
            </wp:positionV>
            <wp:extent cx="922655" cy="691515"/>
            <wp:effectExtent l="0" t="0" r="0" b="0"/>
            <wp:wrapTopAndBottom/>
            <wp:docPr id="3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КОМИТЕТ ИВАНОВСКОЙ ОБЛАСТИ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ПО ГОСУДАРСТВЕННОЙ ОХРАНЕ ОБЪЕКТОВ 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КУЛЬТУРНОГО НАСЛЕДИЯ </w:t>
      </w:r>
    </w:p>
    <w:tbl>
      <w:tblPr>
        <w:tblW w:w="50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66" w:hRule="atLeast"/>
        </w:trPr>
        <w:tc>
          <w:tcPr>
            <w:tcW w:w="10205" w:type="dxa"/>
            <w:tcBorders>
              <w:bottom w:val="single" w:sz="12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8"/>
                <w:szCs w:val="8"/>
              </w:rPr>
            </w:pPr>
            <w:r>
              <w:rPr>
                <w:color w:val="000000"/>
                <w:sz w:val="8"/>
                <w:szCs w:val="8"/>
              </w:rPr>
            </w:r>
          </w:p>
        </w:tc>
      </w:tr>
    </w:tbl>
    <w:p>
      <w:pPr>
        <w:pStyle w:val="Normal"/>
        <w:widowControl/>
        <w:jc w:val="center"/>
        <w:rPr>
          <w:spacing w:val="80"/>
        </w:rPr>
      </w:pPr>
      <w:r>
        <w:rPr>
          <w:spacing w:val="80"/>
        </w:rPr>
      </w:r>
    </w:p>
    <w:p>
      <w:pPr>
        <w:pStyle w:val="Normal"/>
        <w:widowControl/>
        <w:jc w:val="center"/>
        <w:rPr>
          <w:b/>
          <w:b/>
          <w:spacing w:val="80"/>
          <w:sz w:val="40"/>
          <w:szCs w:val="40"/>
        </w:rPr>
      </w:pPr>
      <w:r>
        <w:rPr>
          <w:b/>
          <w:spacing w:val="80"/>
          <w:sz w:val="40"/>
          <w:szCs w:val="40"/>
        </w:rPr>
        <w:t>ПРИКАЗ</w:t>
      </w:r>
    </w:p>
    <w:p>
      <w:pPr>
        <w:pStyle w:val="Normal"/>
        <w:widowControl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313" w:type="dxa"/>
        <w:jc w:val="left"/>
        <w:tblInd w:w="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7"/>
        <w:gridCol w:w="3393"/>
        <w:gridCol w:w="3543"/>
      </w:tblGrid>
      <w:tr>
        <w:trPr>
          <w:trHeight w:val="365" w:hRule="atLeast"/>
        </w:trPr>
        <w:tc>
          <w:tcPr>
            <w:tcW w:w="3377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«_ _» __  __</w:t>
            </w:r>
            <w:r>
              <w:rPr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39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___</w:t>
            </w:r>
            <w:r>
              <w:rPr>
                <w:color w:val="000000"/>
                <w:sz w:val="28"/>
                <w:szCs w:val="28"/>
                <w:u w:val="single"/>
              </w:rPr>
              <w:t>-о_</w:t>
            </w:r>
          </w:p>
        </w:tc>
      </w:tr>
      <w:tr>
        <w:trPr>
          <w:trHeight w:val="365" w:hRule="atLeast"/>
        </w:trPr>
        <w:tc>
          <w:tcPr>
            <w:tcW w:w="10313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65" w:hRule="atLeast"/>
        </w:trPr>
        <w:tc>
          <w:tcPr>
            <w:tcW w:w="1031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О внесении изменения в п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риказ комитета Ивановской области </w:t>
              <w:br/>
              <w:t xml:space="preserve">по государственной охране объектов культурного наследия </w:t>
              <w:br/>
              <w:t xml:space="preserve">от 13.07.2016 № 38-о «Об утверждении Административного регламента комитета Ивановской области по государственной охране объектов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культурного наследия </w:t>
              <w:br/>
              <w:t>(памятника истории и культуры) народов Российской Федерации регионального значения, выявленного объекта культурного наследия»</w:t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</w:tc>
      </w:tr>
      <w:tr>
        <w:trPr>
          <w:trHeight w:val="365" w:hRule="atLeast"/>
        </w:trPr>
        <w:tc>
          <w:tcPr>
            <w:tcW w:w="10313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025" w:hRule="atLeast"/>
        </w:trPr>
        <w:tc>
          <w:tcPr>
            <w:tcW w:w="10313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ind w:left="0" w:right="0" w:firstLine="68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111111"/>
                <w:sz w:val="28"/>
                <w:szCs w:val="28"/>
                <w:u w:val="none"/>
                <w:shd w:fill="auto" w:val="clear"/>
              </w:rPr>
              <w:t xml:space="preserve">В соответствии </w:t>
            </w:r>
            <w:r>
              <w:rPr>
                <w:rFonts w:ascii="Tinos" w:hAnsi="Tinos"/>
                <w:color w:val="111111"/>
                <w:sz w:val="28"/>
                <w:szCs w:val="28"/>
                <w:u w:val="none"/>
                <w:shd w:fill="auto" w:val="clear"/>
                <w:lang w:val="en-US"/>
              </w:rPr>
              <w:t>c</w:t>
            </w:r>
            <w:r>
              <w:rPr>
                <w:rFonts w:ascii="Tinos" w:hAnsi="Tinos"/>
                <w:color w:val="111111"/>
                <w:sz w:val="28"/>
                <w:szCs w:val="28"/>
                <w:u w:val="none"/>
                <w:shd w:fill="auto" w:val="clear"/>
              </w:rPr>
              <w:t xml:space="preserve"> федеральными законами от 25.06.2002 № 73-ФЗ</w:t>
              <w:br/>
              <w:t>«Об объектах культурного наследия (памятниках истории и культуры) народов Российской Ф</w:t>
            </w:r>
            <w:r>
              <w:rPr>
                <w:rFonts w:ascii="Tinos" w:hAnsi="Tinos"/>
                <w:color w:val="000000"/>
                <w:sz w:val="28"/>
                <w:szCs w:val="28"/>
                <w:u w:val="none"/>
                <w:shd w:fill="auto" w:val="clear"/>
              </w:rPr>
              <w:t>едерации», от 27.07.2010 № 210-ФЗ «Об организации предоставления государственных и муниципальных услуг»</w:t>
            </w:r>
            <w:r>
              <w:rPr>
                <w:rFonts w:ascii="Tinos" w:hAnsi="Tinos"/>
                <w:color w:val="111111"/>
                <w:sz w:val="28"/>
                <w:szCs w:val="28"/>
                <w:u w:val="none"/>
                <w:shd w:fill="auto" w:val="clear"/>
              </w:rPr>
              <w:t>,</w:t>
            </w:r>
            <w:r>
              <w:rPr>
                <w:rFonts w:ascii="Tinos" w:hAnsi="Tinos"/>
                <w:color w:val="000000"/>
                <w:sz w:val="28"/>
                <w:szCs w:val="28"/>
                <w:u w:val="none"/>
                <w:shd w:fill="auto" w:val="clear"/>
              </w:rPr>
              <w:t xml:space="preserve">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Приказом Министерства культуры Росси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йской Федерации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от 13.08.2025 № 1455 «Об установлении Порядка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Федерации», постановлениями Правительства Ивановской области от 27.06.2008 №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 xml:space="preserve"> 170-п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«Об утверждении Перечня государственных услуг (работ), предоставляемых (выполняемых) исполнительными органами государственной власти Ивановской области и подведомственными им учреждениями», от 07.03.2023 №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 xml:space="preserve"> 95-п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«Об утверждении Порядка разработки и утверждения административных регламентов предоставления государственных услуг» </w:t>
            </w:r>
            <w:r>
              <w:rPr>
                <w:rFonts w:ascii="Tinos" w:hAnsi="Tinos"/>
                <w:color w:val="000000"/>
                <w:sz w:val="28"/>
                <w:szCs w:val="28"/>
              </w:rPr>
              <w:t>п р и к а з ы в а ю: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firstLine="737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 xml:space="preserve">1. Внести в приказ комитета Ивановской области по государственной охране объектов культурного наследия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от 13.07.2016 № 38-о «Об утверждении Административного регламента комитета Ивановской области по государственной охране объектов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культурного наследия»</w:t>
            </w:r>
            <w:r>
              <w:rPr>
                <w:rFonts w:ascii="Tinos" w:hAnsi="Tinos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 xml:space="preserve">изменение,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изложив приложение к приказу в новой редакции согласно приложению к настоящему приказу.</w:t>
            </w:r>
          </w:p>
          <w:p>
            <w:pPr>
              <w:pStyle w:val="Normal"/>
              <w:widowControl w:val="false"/>
              <w:spacing w:lineRule="auto" w:line="276"/>
              <w:ind w:left="0" w:right="0" w:firstLine="709"/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2. Настоящий приказ вступает в силу после дня его официального опубликования.</w:t>
            </w:r>
          </w:p>
          <w:p>
            <w:pPr>
              <w:pStyle w:val="Normal"/>
              <w:widowControl w:val="false"/>
              <w:spacing w:lineRule="auto" w:line="276"/>
              <w:ind w:left="0" w:right="0" w:firstLine="709"/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76"/>
              <w:ind w:left="0" w:right="0" w:firstLine="709"/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tbl>
            <w:tblPr>
              <w:tblW w:w="1025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86"/>
              <w:gridCol w:w="5263"/>
            </w:tblGrid>
            <w:tr>
              <w:trPr>
                <w:trHeight w:val="365" w:hRule="atLeast"/>
              </w:trPr>
              <w:tc>
                <w:tcPr>
                  <w:tcW w:w="4986" w:type="dxa"/>
                  <w:tcBorders/>
                </w:tcPr>
                <w:p>
                  <w:pPr>
                    <w:pStyle w:val="ConsPlusNormal"/>
                    <w:widowControl w:val="false"/>
                    <w:ind w:left="0" w:right="0" w:hanging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cs="Times New Roman" w:ascii="Times New Roman" w:hAnsi="Times New Roman"/>
                      <w:sz w:val="28"/>
                      <w:szCs w:val="28"/>
                    </w:rPr>
                    <w:t>Председатель комитета</w:t>
                  </w:r>
                </w:p>
                <w:p>
                  <w:pPr>
                    <w:pStyle w:val="ConsPlusNormal"/>
                    <w:widowControl w:val="false"/>
                    <w:ind w:left="0" w:right="0" w:hanging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cs="Times New Roman" w:ascii="Times New Roman" w:hAnsi="Times New Roman"/>
                      <w:sz w:val="28"/>
                      <w:szCs w:val="28"/>
                    </w:rPr>
                    <w:t xml:space="preserve">Ивановской области </w:t>
                    <w:br/>
                    <w:t xml:space="preserve">по государственной охране </w:t>
                    <w:br/>
                    <w:t>объектов культурного наследия</w:t>
                  </w:r>
                </w:p>
              </w:tc>
              <w:tc>
                <w:tcPr>
                  <w:tcW w:w="5263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before="0" w:after="0"/>
                    <w:ind w:left="0" w:right="227" w:hanging="0"/>
                    <w:contextualSpacing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  </w:t>
                  </w:r>
                  <w:r>
                    <w:rPr>
                      <w:color w:val="000000"/>
                      <w:sz w:val="28"/>
                      <w:szCs w:val="28"/>
                    </w:rPr>
                    <w:t>А.А</w:t>
                  </w:r>
                  <w:r>
                    <w:rPr>
                      <w:sz w:val="28"/>
                      <w:szCs w:val="28"/>
                    </w:rPr>
                    <w:t>. Макаров</w:t>
                  </w:r>
                </w:p>
              </w:tc>
            </w:tr>
          </w:tbl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Приложение к приказу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комитета Ивановской области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по государственной охране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объектов культурного наследия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от ___________ № __________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Приложение к приказу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комитета Ивановской области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по государственной охране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right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объектов культурного наследия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firstLine="737"/>
              <w:jc w:val="right"/>
              <w:rPr/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  <w:t>от 13.07.2016 № 38-о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>
                <w:rFonts w:ascii="Tinos" w:hAnsi="Tinos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u w:val="none"/>
                <w:shd w:fill="auto" w:val="clear"/>
              </w:rPr>
            </w:pP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u w:val="none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/>
            </w:pP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>Административн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ый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регламент комитета Ивановской области </w:t>
              <w:br/>
              <w:t xml:space="preserve">по государственной охране объектов культурного наследия предоставления </w:t>
              <w:br/>
              <w:t xml:space="preserve">государственной услуги по согласованию проектной документации на проведение работ по сохранению объекта культурного наследия (памятника истории </w:t>
              <w:br/>
              <w:t xml:space="preserve">и культуры) народов Российской Федерации регионального значения, </w:t>
              <w:br/>
              <w:t>выявленного объекта культурного наследия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Общие положения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1.1. Предметом регулирования настоящего Административного регламента являются порядок предоставления комитетом Ивановской области по государственной охране объектов культурного наследия</w:t>
              <w:br/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государственной услуги «С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>огласовани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е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культурного наследия»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</w:t>
            </w:r>
            <w:r>
              <w:rPr>
                <w:rFonts w:ascii="Tinos" w:hAnsi="Tinos"/>
                <w:sz w:val="28"/>
                <w:szCs w:val="28"/>
              </w:rPr>
              <w:t xml:space="preserve">(далее – государственная услуга) и стандарт </w:t>
            </w: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предоставления государственной услуги.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1.2. Заявителя</w:t>
            </w: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ми</w:t>
            </w:r>
            <w:r>
              <w:rPr>
                <w:rFonts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t>, которы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е</w:t>
            </w:r>
            <w:r>
              <w:rPr>
                <w:rFonts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t xml:space="preserve"> мо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гут</w:t>
            </w:r>
            <w:r>
              <w:rPr>
                <w:rFonts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t xml:space="preserve"> обратиться с запросом о предоставлении государственной услуги, явля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ю</w:t>
            </w:r>
            <w:r>
              <w:rPr>
                <w:rFonts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t xml:space="preserve">тся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юридически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е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лиц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, индивидуальны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 xml:space="preserve">е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предпринимател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, физически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е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лиц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либо их уполномоченны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е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представител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</w:t>
            </w:r>
            <w:r>
              <w:rPr>
                <w:rFonts w:ascii="Tinos" w:hAnsi="Tinos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br/>
              <w:t>(далее — заявители).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  <w:t>1.3. Государственная услуга должна быть предоставлена заявителю</w:t>
              <w:br/>
              <w:t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ЕПГУ).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2. Стандарт предоставления государственной услуги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Наименование государственной услуги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2.1. Наименование государственной услуги – 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согласовани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е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культурного наследия.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Наименование исполнительного органа государственной власти,</w:t>
              <w:br/>
              <w:t>предоставляющего государственную услугу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2.2. Государственная услуга предоставляется комитетом Ивановской области по государственной охране объектов культурного наследия (далее – Комитет).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Результат предоставления государственной услуги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2.3. Результатом предоставления государственной услуги является: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1)</w:t>
            </w:r>
            <w:r>
              <w:rPr>
                <w:rFonts w:ascii="Tinos" w:hAnsi="Tinos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 xml:space="preserve">решение о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>согласовани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и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проектной документации на проведение работ</w:t>
              <w:br/>
              <w:t>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культурного наследия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(далее -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проектная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документация);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2) решение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kern w:val="0"/>
                <w:sz w:val="28"/>
                <w:szCs w:val="28"/>
                <w:u w:val="none"/>
                <w:lang w:val="ru-RU" w:eastAsia="ar-SA" w:bidi="ar-SA"/>
              </w:rPr>
              <w:t>(мотивированное уведомление) об отказе в утверждении проектной документации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2.4. Результат предоставления государственной услуги может быть получен одним из следующих способов: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1)</w:t>
            </w:r>
            <w:r>
              <w:rPr>
                <w:rFonts w:ascii="Tinos" w:hAnsi="Tinos"/>
                <w:sz w:val="28"/>
                <w:szCs w:val="28"/>
              </w:rPr>
              <w:t xml:space="preserve"> в форме электронн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 xml:space="preserve">ого </w:t>
            </w:r>
            <w:r>
              <w:rPr>
                <w:rFonts w:ascii="Tinos" w:hAnsi="Tinos"/>
                <w:sz w:val="28"/>
                <w:szCs w:val="28"/>
              </w:rPr>
              <w:t>документа (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посредством</w:t>
            </w:r>
            <w:r>
              <w:rPr>
                <w:rFonts w:ascii="Tinos" w:hAnsi="Tinos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ЕПГУ или на электронный адрес</w:t>
            </w:r>
            <w:r>
              <w:rPr>
                <w:rFonts w:ascii="Tinos" w:hAnsi="Tinos"/>
                <w:sz w:val="28"/>
                <w:szCs w:val="28"/>
              </w:rPr>
              <w:t>);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2) на бумажном носителе лично заявителем;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3) на бумажном носителе по почте.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Способ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получения</w:t>
            </w:r>
            <w:r>
              <w:rPr>
                <w:rFonts w:ascii="Tinos" w:hAnsi="Tinos"/>
                <w:sz w:val="28"/>
                <w:szCs w:val="28"/>
              </w:rPr>
              <w:t xml:space="preserve"> результата предоставления государственной услуги указывается заявителем в заявлении о предоставлении государственной услуги.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2.5.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lang w:eastAsia="ar-SA"/>
              </w:rPr>
              <w:t>Н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еобходимость формирования реестровой записи по результатам предоставления государственной услуги отсутствует</w:t>
            </w:r>
            <w:r>
              <w:rPr>
                <w:rFonts w:ascii="Tinos" w:hAnsi="Tinos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Срок предоставления государственной услуги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6</w:t>
            </w:r>
            <w:r>
              <w:rPr>
                <w:rFonts w:ascii="Tinos" w:hAnsi="Tinos"/>
                <w:sz w:val="28"/>
                <w:szCs w:val="28"/>
              </w:rPr>
              <w:t>. Максимальный срок предоставления государственной услуги исчисляется со дня регистрации в Комитете заявления о предоставлении государственной услуги, и составляет: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1)</w:t>
            </w:r>
            <w:r>
              <w:rPr>
                <w:rFonts w:ascii="Tinos" w:hAnsi="Tinos"/>
                <w:sz w:val="28"/>
                <w:szCs w:val="28"/>
              </w:rPr>
              <w:t xml:space="preserve"> при обращении за предоставлением государственной услуги в виде документа на бумажном носителе – не более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2</w:t>
            </w:r>
            <w:r>
              <w:rPr>
                <w:rFonts w:ascii="Tinos" w:hAnsi="Tinos"/>
                <w:sz w:val="28"/>
                <w:szCs w:val="28"/>
              </w:rPr>
              <w:t xml:space="preserve">0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рабочих</w:t>
            </w:r>
            <w:r>
              <w:rPr>
                <w:rFonts w:ascii="Tinos" w:hAnsi="Tinos"/>
                <w:sz w:val="28"/>
                <w:szCs w:val="28"/>
              </w:rPr>
              <w:t xml:space="preserve"> дней со дня поступления заявления о предоставлении государственной услуги в Комитет;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2) при обращении за предоставлением государственной услуги</w:t>
              <w:br/>
              <w:t xml:space="preserve">в электронной форме, в том числе через личный кабинет на ЕПГУ - не более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15</w:t>
            </w:r>
            <w:r>
              <w:rPr>
                <w:rFonts w:ascii="Tinos" w:hAnsi="Tinos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рабочих</w:t>
            </w:r>
            <w:r>
              <w:rPr>
                <w:rFonts w:ascii="Tinos" w:hAnsi="Tinos"/>
                <w:sz w:val="28"/>
                <w:szCs w:val="28"/>
              </w:rPr>
              <w:t xml:space="preserve"> дней со дня поступления заявления о предоставлении государственной услуги в Комитет.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Продление максимального срока предоставления государственной услуги не предусмотрено.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Размер платы, взимаемой с заявителя </w:t>
              <w:br/>
              <w:t>при предоставлении государственной услуги, и способы ее взимания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7</w:t>
            </w:r>
            <w:r>
              <w:rPr>
                <w:rFonts w:ascii="Tinos" w:hAnsi="Tinos"/>
                <w:sz w:val="28"/>
                <w:szCs w:val="28"/>
              </w:rPr>
              <w:t>. Плата за предоставление государственной услуги с заявителя не взимается.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срок ожидания в очереди при подаче заявителем запроса</w:t>
              <w:br/>
              <w:t>о предоставлении государственной услуги и при получении результата предоставления государственной услуги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sz w:val="28"/>
                <w:szCs w:val="28"/>
              </w:rPr>
              <w:t>2.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8</w:t>
            </w:r>
            <w:r>
              <w:rPr>
                <w:sz w:val="28"/>
                <w:szCs w:val="28"/>
              </w:rPr>
              <w:t>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15 минут.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регистрации запроса заявителя </w:t>
              <w:br/>
              <w:t>о предоставлении государственной услуги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sz w:val="28"/>
                <w:szCs w:val="28"/>
              </w:rPr>
              <w:t>2.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9</w:t>
            </w:r>
            <w:r>
              <w:rPr>
                <w:sz w:val="28"/>
                <w:szCs w:val="28"/>
              </w:rPr>
              <w:t>. Срок регистрации запроса заявителя о предоставлении государственной услуги: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1)</w:t>
            </w:r>
            <w:r>
              <w:rPr>
                <w:sz w:val="28"/>
                <w:szCs w:val="28"/>
              </w:rPr>
              <w:t xml:space="preserve"> при обращении за предоставлением государственной услуги в виде документа на бумажном носителе - в течение 3 рабочих дней с даты поступления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запроса</w:t>
            </w:r>
            <w:r>
              <w:rPr>
                <w:sz w:val="28"/>
                <w:szCs w:val="28"/>
              </w:rPr>
              <w:t xml:space="preserve"> о предоставлении государственной услуги в Комитет;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/>
            </w:pPr>
            <w:r>
              <w:rPr>
                <w:sz w:val="28"/>
                <w:szCs w:val="28"/>
              </w:rPr>
              <w:t>2) при обращении за предоставлением государственной услуги</w:t>
              <w:br/>
              <w:t xml:space="preserve">в электронной форме через личный кабинет на ЕПГУ - в течение 1 рабочего дня с даты поступления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запроса</w:t>
            </w:r>
            <w:r>
              <w:rPr>
                <w:sz w:val="28"/>
                <w:szCs w:val="28"/>
              </w:rPr>
              <w:t xml:space="preserve"> о предоставлении государственной услуги в Комитет.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Требования к помещениям, в которых предоставляется государственная услуга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2.1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0</w:t>
            </w:r>
            <w:r>
              <w:rPr>
                <w:rFonts w:ascii="Tinos" w:hAnsi="Tinos"/>
                <w:sz w:val="28"/>
                <w:szCs w:val="28"/>
              </w:rPr>
              <w:t xml:space="preserve">. Требования к помещениям, в которых предоставляется государственная услуга, размещаются на официальном сайте Комитета, а также на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ЕПГУ</w:t>
            </w:r>
            <w:r>
              <w:rPr>
                <w:rFonts w:ascii="Tinos" w:hAnsi="Tinos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76" w:before="120" w:after="120"/>
              <w:ind w:left="0" w:right="0" w:hanging="0"/>
              <w:jc w:val="center"/>
              <w:outlineLvl w:val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Показатели качества и доступности государственной услуги</w:t>
            </w:r>
          </w:p>
          <w:p>
            <w:pPr>
              <w:pStyle w:val="Normal"/>
              <w:widowControl w:val="false"/>
              <w:spacing w:lineRule="auto" w:line="276" w:before="120" w:after="12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2.1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</w:t>
            </w:r>
            <w:r>
              <w:rPr>
                <w:rFonts w:ascii="Tinos" w:hAnsi="Tinos"/>
                <w:sz w:val="28"/>
                <w:szCs w:val="28"/>
              </w:rPr>
              <w:t xml:space="preserve">. Показатели качества и доступности государственной услуги размещаются на официальном сайте Комитета, а также на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ЕПГУ</w:t>
            </w:r>
            <w:r>
              <w:rPr>
                <w:rFonts w:ascii="Tinos" w:hAnsi="Tinos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spacing w:lineRule="auto" w:line="276" w:before="177" w:after="177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Иные требования к предоставлению государственной услуги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2.1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2</w:t>
            </w:r>
            <w:r>
              <w:rPr>
                <w:rFonts w:ascii="Tinos" w:hAnsi="Tinos"/>
                <w:sz w:val="28"/>
                <w:szCs w:val="28"/>
              </w:rPr>
              <w:t>. Услуги, которые являются необходимыми и обязательными для предоставления государственной услуги, законодательством не предусмотрены.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2.1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nos" w:hAnsi="Tinos"/>
                <w:sz w:val="28"/>
                <w:szCs w:val="28"/>
              </w:rPr>
              <w:t>. Перечень информационных систем, используемых для предоставления государственной услуги: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(функций)»,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автоматизированная информационная система «Единый государственный реестр объектов культурного наследия (памятников истории и культуры) народов Российской Федерации»,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единая система электронного документооборота в Правительстве Ивановской области и исполнительных органах государственной власти Ивановской области.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lang w:eastAsia="ar-SA"/>
              </w:rPr>
              <w:t>2.1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4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lang w:eastAsia="ar-SA"/>
              </w:rPr>
              <w:t xml:space="preserve">. Государственная услуга в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многофункциональном центре предоставления государственных и муниципальных услуг не предоставляется.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Исчерпывающий перечень документов, необходимых</w:t>
              <w:br/>
              <w:t>для предоставления государственной услуги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15</w:t>
            </w:r>
            <w:r>
              <w:rPr>
                <w:rFonts w:ascii="Tinos" w:hAnsi="Tinos"/>
                <w:sz w:val="28"/>
                <w:szCs w:val="28"/>
              </w:rPr>
              <w:t xml:space="preserve">.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Исчерпывающий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  <w:shd w:fill="auto" w:val="clear"/>
              </w:rPr>
              <w:t>перечень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 документов, необходимых в соответствии с нормативными правовыми актами для предоставления государственной услуги, приведен в приложении к настоящему Административному регламенту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инициативе.                            </w:t>
              <w:br/>
              <w:t xml:space="preserve">     Форма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  <w:shd w:fill="auto" w:val="clear"/>
                <w:lang w:eastAsia="ar-SA"/>
              </w:rPr>
              <w:t>запроса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 о предоставлении государственной услуги приведена в приложении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16</w:t>
            </w:r>
            <w:r>
              <w:rPr>
                <w:rFonts w:ascii="Tinos" w:hAnsi="Tinos"/>
                <w:sz w:val="28"/>
                <w:szCs w:val="28"/>
              </w:rPr>
              <w:t xml:space="preserve">.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Перечень способов подачи запроса о предоставлении государственной услуги и документов, необходимых для предоставления государственной услуги, приводится в приложении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Исчерпывающий перечень оснований для отказа </w:t>
              <w:br/>
              <w:t>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17</w:t>
            </w:r>
            <w:r>
              <w:rPr>
                <w:rFonts w:ascii="Tinos" w:hAnsi="Tinos"/>
                <w:sz w:val="28"/>
                <w:szCs w:val="28"/>
              </w:rPr>
              <w:t xml:space="preserve">. Основания для отказа в приеме запроса о предоставлении государственной услуги и документов, необходимых для предоставления государственной услуги,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отсутствуют</w:t>
            </w:r>
            <w:r>
              <w:rPr>
                <w:rFonts w:ascii="Tinos" w:hAnsi="Tinos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>2.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18</w:t>
            </w:r>
            <w:r>
              <w:rPr>
                <w:rFonts w:ascii="Tinos" w:hAnsi="Tinos"/>
                <w:sz w:val="28"/>
                <w:szCs w:val="28"/>
              </w:rPr>
              <w:t xml:space="preserve">. Основания для приостановления предоставления государственной </w:t>
            </w:r>
            <w:r>
              <w:rPr>
                <w:rFonts w:ascii="Tinos" w:hAnsi="Tinos"/>
                <w:color w:val="000000"/>
                <w:sz w:val="28"/>
                <w:szCs w:val="28"/>
              </w:rPr>
              <w:t xml:space="preserve">услуги </w:t>
            </w: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lang w:val="ru-RU" w:eastAsia="ar-SA" w:bidi="ar-SA"/>
              </w:rPr>
              <w:t>отсутствуют</w:t>
            </w:r>
            <w:r>
              <w:rPr>
                <w:rFonts w:ascii="Tinos" w:hAnsi="Tinos"/>
                <w:color w:val="000000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2.</w:t>
            </w: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19</w:t>
            </w: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. Основания для отказа в предоставлении государственной услуги: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 xml:space="preserve">1)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представление неполного комплекта документов, предусмотренных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пунктом 10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Порядка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Федерации, утвержденного Приказом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Министерства культуры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Российской Федерации от 13.08.2025 № 1455 (далее — Порядок),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 приведенных в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приложени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2) наличие недостоверных сведений в документах, предусмотренных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пунктом 10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 Порядка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 приведенных в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приложени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3) несоответствие проектной документации документам, предусмотренным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подпунктами «а»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, «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б»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и «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г» пункта 5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Порядка;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4) направленные документы, предусмотренные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пунктом 10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Порядка и приведенные в приложении к настоящему Административному регламенту, подписаны лицом, не имеющим на то полномочий.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5) несогласие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Комитета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с заключением государственной историко-культурной экспертиз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ы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.</w:t>
            </w:r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hyperlink r:id="rId3">
              <w:r>
                <w:rPr>
                  <w:rFonts w:ascii="Tinos" w:hAnsi="Tinos"/>
                  <w:sz w:val="28"/>
                  <w:szCs w:val="28"/>
                </w:rPr>
                <w:t>2.2</w:t>
              </w:r>
              <w:r>
                <w:rPr>
                  <w:rFonts w:eastAsia="Times New Roman" w:cs="Times New Roman" w:ascii="Tinos" w:hAnsi="Tinos"/>
                  <w:color w:val="auto"/>
                  <w:kern w:val="0"/>
                  <w:sz w:val="28"/>
                  <w:szCs w:val="28"/>
                  <w:lang w:val="ru-RU" w:eastAsia="ar-SA" w:bidi="ar-SA"/>
                </w:rPr>
                <w:t>0</w:t>
              </w:r>
              <w:r>
                <w:rPr>
                  <w:rFonts w:ascii="Tinos" w:hAnsi="Tinos"/>
                  <w:sz w:val="28"/>
                  <w:szCs w:val="28"/>
                </w:rPr>
                <w:t xml:space="preserve">. Отказ в предоставлении государственной услуги оформляется в письменной форме с </w:t>
              </w:r>
              <w:r>
                <w:rPr>
                  <w:rFonts w:eastAsia="Times New Roman" w:cs="Times New Roman" w:ascii="Tinos" w:hAnsi="Tinos"/>
                  <w:color w:val="auto"/>
                  <w:kern w:val="0"/>
                  <w:sz w:val="28"/>
                  <w:szCs w:val="28"/>
                  <w:lang w:val="ru-RU" w:eastAsia="ar-SA" w:bidi="ar-SA"/>
                </w:rPr>
                <w:t>мотивированным обоснованием</w:t>
              </w:r>
              <w:r>
                <w:rPr>
                  <w:rFonts w:ascii="Tinos" w:hAnsi="Tinos"/>
                  <w:sz w:val="28"/>
                  <w:szCs w:val="28"/>
                </w:rPr>
                <w:t xml:space="preserve"> причин отказа в предоставлении государственной услуги.</w:t>
              </w:r>
            </w:hyperlink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/>
            </w:pPr>
            <w:hyperlink r:id="rId4">
              <w:r>
                <w:rPr>
                  <w:rFonts w:ascii="Tinos" w:hAnsi="Tinos"/>
                  <w:sz w:val="28"/>
                  <w:szCs w:val="28"/>
                </w:rPr>
                <w:t>2.</w:t>
              </w:r>
              <w:r>
                <w:rPr>
                  <w:rFonts w:eastAsia="Times New Roman" w:cs="Times New Roman" w:ascii="Tinos" w:hAnsi="Tinos"/>
                  <w:color w:val="auto"/>
                  <w:kern w:val="0"/>
                  <w:sz w:val="28"/>
                  <w:szCs w:val="28"/>
                  <w:lang w:val="ru-RU" w:eastAsia="ar-SA" w:bidi="ar-SA"/>
                </w:rPr>
                <w:t>21</w:t>
              </w:r>
              <w:r>
                <w:rPr>
                  <w:rFonts w:ascii="Tinos" w:hAnsi="Tinos"/>
                  <w:sz w:val="28"/>
                  <w:szCs w:val="28"/>
                </w:rPr>
                <w:t xml:space="preserve">. </w:t>
              </w:r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sz w:val="28"/>
                  <w:szCs w:val="28"/>
                  <w:u w:val="none"/>
                </w:rPr>
                <w:t xml:space="preserve"> </w:t>
              </w:r>
              <w:r>
                <w:rPr>
                  <w:rFonts w:ascii="Tinos" w:hAnsi="Tinos"/>
                  <w:sz w:val="28"/>
                  <w:szCs w:val="28"/>
                </w:rPr>
                <w:t xml:space="preserve">Исчерпывающий перечень оснований для отказа в приеме запроса о предоставлении государственной услуги и документов, необходимых для предоставления услуги, оснований для приостановления предоставления государственной услуги или отказа в предоставлении государственной услуги </w:t>
              </w:r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sz w:val="28"/>
                  <w:szCs w:val="28"/>
                  <w:u w:val="none"/>
                </w:rPr>
                <w:t>приведен в приложении к настоящему Административному регламенту с учетом категории (признаков) заявителя.</w:t>
              </w:r>
            </w:hyperlink>
          </w:p>
          <w:p>
            <w:pPr>
              <w:pStyle w:val="Normal"/>
              <w:widowControl w:val="false"/>
              <w:spacing w:lineRule="auto" w:line="276" w:before="6" w:after="6"/>
              <w:ind w:left="0" w:right="0" w:firstLine="709"/>
              <w:jc w:val="both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3. Состав, последовательность и сроки </w:t>
              <w:br/>
              <w:t>выполнения административных процедур</w:t>
            </w:r>
          </w:p>
          <w:p>
            <w:pPr>
              <w:pStyle w:val="Normal"/>
              <w:widowControl w:val="false"/>
              <w:ind w:left="0" w:right="0" w:hanging="0"/>
              <w:jc w:val="both"/>
              <w:rPr>
                <w:rFonts w:ascii="Arial" w:hAnsi="Arial"/>
                <w:b w:val="false"/>
                <w:b w:val="false"/>
                <w:i w:val="false"/>
                <w:i w:val="false"/>
                <w:strike w:val="false"/>
                <w:dstrike w:val="false"/>
                <w:sz w:val="20"/>
                <w:u w:val="none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</w:r>
          </w:p>
          <w:p>
            <w:pPr>
              <w:pStyle w:val="Normal"/>
              <w:widowControl w:val="false"/>
              <w:ind w:left="0" w:right="0" w:hanging="0"/>
              <w:jc w:val="center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Перечень осуществляемых</w:t>
            </w:r>
          </w:p>
          <w:p>
            <w:pPr>
              <w:pStyle w:val="Normal"/>
              <w:widowControl w:val="false"/>
              <w:ind w:left="0" w:right="0" w:hanging="0"/>
              <w:jc w:val="center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при предоставлении государственной услуги</w:t>
            </w:r>
          </w:p>
          <w:p>
            <w:pPr>
              <w:pStyle w:val="Normal"/>
              <w:widowControl w:val="false"/>
              <w:ind w:left="0" w:right="0" w:hanging="0"/>
              <w:jc w:val="center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административных процедур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3.1. При предоставлении государственной услуги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осуществляются</w:t>
            </w:r>
            <w:r>
              <w:rPr>
                <w:rFonts w:ascii="Tinos" w:hAnsi="Tinos"/>
                <w:sz w:val="28"/>
                <w:szCs w:val="28"/>
              </w:rPr>
              <w:t xml:space="preserve"> следующие административные процедуры: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1) прием запроса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и</w:t>
            </w:r>
            <w:r>
              <w:rPr>
                <w:rFonts w:ascii="Tinos" w:hAnsi="Tinos"/>
                <w:sz w:val="28"/>
                <w:szCs w:val="28"/>
              </w:rPr>
              <w:t xml:space="preserve"> документов, необходимых для предоставления государственной услуги: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при обращении за предоставлением государственной услуги в виде документа на бумажном носителе — не более 3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рабочих</w:t>
            </w:r>
            <w:r>
              <w:rPr>
                <w:rFonts w:ascii="Tinos" w:hAnsi="Tinos"/>
                <w:sz w:val="28"/>
                <w:szCs w:val="28"/>
              </w:rPr>
              <w:t xml:space="preserve"> дней с даты получения заявления о предоставлении государственной услуги;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при обращении за предоставлением государственной услуги</w:t>
              <w:br/>
              <w:t>в электронной форме через личный кабинет на ЕПГУ - не более 1 рабочего дня</w:t>
              <w:br/>
              <w:t>с даты получения заявления о предоставлении государственной услуги.</w:t>
            </w:r>
          </w:p>
          <w:p>
            <w:pPr>
              <w:pStyle w:val="Normal"/>
              <w:widowControl w:val="false"/>
              <w:spacing w:lineRule="auto" w:line="276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Состав запроса и переч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ень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документов, необходимых для предоставления государственной услуги в соответствии с категорией (признаками) заявителя, а также способов подачи указанных запроса, документов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lang w:eastAsia="ar-SA"/>
              </w:rPr>
              <w:t>приведены в приложении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/>
              <w:ind w:left="0" w:right="0" w:hanging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 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Установление личности заявителя (представителя заявителя)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законодательством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Российской Федерации или посредством идентификации и аутентификации в органах, предоставляющих государственные услуги, многофункциональных центрах с использованием информационных технологий и (или) информационных систем в соответствии со статьей 7 Федерального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закона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от 27.07.2010 № 210-ФЗ «Об организации предоставления государственных и муниципальных услуг».</w:t>
            </w:r>
          </w:p>
          <w:p>
            <w:pPr>
              <w:pStyle w:val="Normal"/>
              <w:widowControl w:val="false"/>
              <w:spacing w:lineRule="auto" w:line="276"/>
              <w:ind w:left="0" w:right="0" w:hanging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     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О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снования для принятия решения об отказе в приеме запроса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документов, необходимых для предоставления государственной услуги,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отсутствуют.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0" w:after="0"/>
              <w:ind w:left="0" w:right="0" w:firstLine="680"/>
              <w:jc w:val="both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Прием Комитетом запроса и документов, необходимых для предоставления государственной услуги, возможен по выбору заявителя независимо от его места жительства или места пребывания (для физических лиц, включая индивидуальных предпринимателей) либо местонахождения (для юридических лиц).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0" w:after="0"/>
              <w:ind w:left="0" w:right="0" w:firstLine="680"/>
              <w:jc w:val="both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Срок регистрации запроса и документов, необходимых для предоставления государственной услуги, в Комитете определяется в соответствии с пунктом 2.9 настоящего Административного регламента и составляет: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-</w:t>
            </w:r>
            <w:r>
              <w:rPr>
                <w:sz w:val="28"/>
                <w:szCs w:val="28"/>
              </w:rPr>
              <w:t xml:space="preserve"> при обращении за предоставлением государственной услуги в виде документа на бумажном носителе - в течение 3 рабочих дней с даты поступления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ar-SA" w:bidi="ar-SA"/>
              </w:rPr>
              <w:t>запроса</w:t>
            </w:r>
            <w:r>
              <w:rPr>
                <w:sz w:val="28"/>
                <w:szCs w:val="28"/>
              </w:rPr>
              <w:t xml:space="preserve"> о предоставлении государственной услуги в Комитет;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6" w:after="6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- при обращении за предоставлением государственной услуги</w:t>
              <w:br/>
              <w:t xml:space="preserve">в электронной форме, в том числе через личный кабинет на ЕПГУ - в течение 1 рабочего дня с даты поступления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auto"/>
                <w:kern w:val="0"/>
                <w:sz w:val="28"/>
                <w:szCs w:val="28"/>
                <w:u w:val="none"/>
                <w:lang w:val="ru-RU" w:eastAsia="ar-SA" w:bidi="ar-SA"/>
              </w:rPr>
              <w:t>запроса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о предоставлении государственной услуги в Комитет.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2) профилирование заявителя: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при обращении за предоставлением государственной услуги в виде документа на бумажном носителе — не более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2</w:t>
            </w:r>
            <w:r>
              <w:rPr>
                <w:rFonts w:ascii="Tinos" w:hAnsi="Tinos"/>
                <w:sz w:val="28"/>
                <w:szCs w:val="28"/>
              </w:rPr>
              <w:t xml:space="preserve"> рабоч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их</w:t>
            </w:r>
            <w:r>
              <w:rPr>
                <w:rFonts w:ascii="Tinos" w:hAnsi="Tinos"/>
                <w:sz w:val="28"/>
                <w:szCs w:val="28"/>
              </w:rPr>
              <w:t xml:space="preserve"> дней после приема заявления о предоставлении государственной услуги;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при обращении за предоставлением государственной услуги</w:t>
              <w:br/>
              <w:t>в электронной форме через личный кабинет на ЕПГУ — не боле 1 рабочего дня после приема заявления о предоставлении государственной услуги.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0" w:after="0"/>
              <w:ind w:left="0" w:right="0" w:firstLine="737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 xml:space="preserve">Категория (признаки) заявителя определяются ответственным исполнителем на основании сведений, указанных заявителем в заявлении о предоставлении государственной услуги, поступившем в комитет, и результата государственной услуги, за предоставлением которого обратился заявитель, путем сопоставления данных сведений с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FF"/>
                <w:sz w:val="28"/>
                <w:szCs w:val="28"/>
                <w:u w:val="none"/>
              </w:rPr>
              <w:t>идентификаторами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 xml:space="preserve"> категорий (признаков) заявителей, предусмотренных приложением к настоящему Административному регламенту, по результатам которого определяется комбинация категорий (признаков) заявителя в соответствии с настоящим Административным регламентом и, соответственно, отдельные особенности предоставления государственной услуги с учетом категории (признаков) заявителя.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3) рассмотрение документов и принятие решения о предоставлении государственной услуги либо об отказе в предоставлении государственной услуги: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при обращении за предоставлением государственной услуги в виде документа на бумажном носителе — не более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13</w:t>
            </w:r>
            <w:r>
              <w:rPr>
                <w:rFonts w:ascii="Tinos" w:hAnsi="Tinos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рабочих</w:t>
            </w:r>
            <w:r>
              <w:rPr>
                <w:rFonts w:ascii="Tinos" w:hAnsi="Tinos"/>
                <w:sz w:val="28"/>
                <w:szCs w:val="28"/>
              </w:rPr>
              <w:t xml:space="preserve"> дней после профилирования заявителя;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  <w:t>при обращении за предоставлением государственной услуги</w:t>
              <w:br/>
              <w:t xml:space="preserve">в электронной форме через личный кабинет на ЕПГУ - не более </w:t>
            </w: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12</w:t>
            </w:r>
            <w:r>
              <w:rPr>
                <w:rFonts w:ascii="Tinos" w:hAnsi="Tinos"/>
                <w:sz w:val="28"/>
                <w:szCs w:val="28"/>
                <w:shd w:fill="auto" w:val="clear"/>
              </w:rPr>
              <w:t xml:space="preserve"> </w:t>
            </w: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shd w:fill="auto" w:val="clear"/>
                <w:lang w:val="ru-RU" w:eastAsia="ar-SA" w:bidi="ar-SA"/>
              </w:rPr>
              <w:t>рабочих</w:t>
            </w:r>
            <w:r>
              <w:rPr>
                <w:rFonts w:ascii="Tinos" w:hAnsi="Tinos"/>
                <w:sz w:val="28"/>
                <w:szCs w:val="28"/>
                <w:shd w:fill="auto" w:val="clear"/>
              </w:rPr>
              <w:t xml:space="preserve"> дней  после профилирования заявителя.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0" w:after="0"/>
              <w:ind w:left="0" w:right="0" w:firstLine="737"/>
              <w:jc w:val="both"/>
              <w:rPr>
                <w:rFonts w:ascii="Tinos" w:hAnsi="Tinos"/>
                <w:b w:val="false"/>
                <w:b w:val="false"/>
                <w:i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>Основания для отказа в предоставлении государственной услуги приведены в приложении к настоящему Административному регламенту.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  <w:t>4) направление (выдача) результата предоставления государственной услуги: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  <w:t>п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ри обращении за предоставлением государственной услуги в виде документа на бумажном носителе - не более 2 рабочих дней с даты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  <w:lang w:eastAsia="ar-SA"/>
              </w:rPr>
              <w:t>подписания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 решения о предоставлении государственной услуги либо об отказе в предоставлении государственной услуги</w:t>
            </w:r>
            <w:r>
              <w:rPr>
                <w:rFonts w:ascii="Tinos" w:hAnsi="Tinos"/>
                <w:sz w:val="28"/>
                <w:szCs w:val="28"/>
                <w:shd w:fill="auto" w:val="clear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firstLine="737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при обращении за предоставлением государственной услуги в электронной форме через личный кабинет на ЕПГУ - не более 1 рабочего дня с даты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  <w:lang w:eastAsia="ar-SA"/>
              </w:rPr>
              <w:t>подписания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 решения о предоставлении государственной услуги либо об отказе в предоставлении государственной услуги.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bidi w:val="0"/>
              <w:spacing w:lineRule="auto" w:line="276" w:before="0" w:after="0"/>
              <w:ind w:left="0" w:right="0" w:firstLine="737"/>
              <w:jc w:val="both"/>
              <w:rPr/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>Направление (выдача) результата предоставления государственной услуги  возможн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ы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  <w:shd w:fill="auto" w:val="clear"/>
              </w:rPr>
              <w:t xml:space="preserve"> по выбору заявителя независимо от его места жительства или места пребывания (для физических лиц, включая индивидуальных предпринимателей) либо местонахождения (для юридических лиц).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  <w:t>3.2. Государственная услуга в упреждающем (проактивном) режиме</w:t>
              <w:br/>
              <w:t>не предоставляется.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</w:r>
          </w:p>
          <w:p>
            <w:pPr>
              <w:pStyle w:val="NormalWeb"/>
              <w:widowControl w:val="false"/>
              <w:spacing w:lineRule="auto" w:line="276" w:before="120" w:after="120"/>
              <w:jc w:val="center"/>
              <w:rPr>
                <w:rFonts w:ascii="Tinos" w:hAnsi="Tinos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sz w:val="28"/>
                <w:szCs w:val="28"/>
                <w:shd w:fill="auto" w:val="clear"/>
              </w:rPr>
              <w:t xml:space="preserve">Способы информирования заявителя об изменении статуса рассмотрения </w:t>
              <w:br/>
              <w:t>запроса о предоставлении государственной услуги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3.3. Информирование заявителя об изменении статуса рассмотрения запроса о предоставлении государственной услуги осуществляется следующими способами по запросу заявителя: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0" w:right="0" w:firstLine="709"/>
              <w:jc w:val="both"/>
              <w:rPr/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1)</w:t>
            </w: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 xml:space="preserve"> в устной форме (при личном обращении либо посредством телефонной</w:t>
              <w:br/>
              <w:t>связи);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ascii="Tinos" w:hAnsi="Tinos"/>
                <w:color w:val="000000"/>
                <w:sz w:val="28"/>
                <w:szCs w:val="28"/>
                <w:shd w:fill="auto" w:val="clear"/>
              </w:rPr>
              <w:t>2) в письменной форме (посредством направления ответа на письменное</w:t>
              <w:br/>
              <w:t>обращение либо информации на адрес электронной почты);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0" w:right="0" w:firstLine="709"/>
              <w:jc w:val="both"/>
              <w:rPr>
                <w:rFonts w:ascii="Tinos" w:hAnsi="Tinos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shd w:fill="auto" w:val="clear"/>
                <w:lang w:eastAsia="ru-RU"/>
              </w:rPr>
              <w:t xml:space="preserve">3) посредством направления информации в личный кабинет на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shd w:fill="auto" w:val="clear"/>
                <w:lang w:eastAsia="ar-SA"/>
              </w:rPr>
              <w:t>ЕПГУ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shd w:fill="auto" w:val="clear"/>
                <w:lang w:eastAsia="ru-RU"/>
              </w:rPr>
              <w:t xml:space="preserve"> (при обращении за предоставлением государственной услуги через 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shd w:fill="auto" w:val="clear"/>
                <w:lang w:eastAsia="ar-SA"/>
              </w:rPr>
              <w:t>ЕПГУ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shd w:fill="auto" w:val="clear"/>
                <w:lang w:eastAsia="ru-RU"/>
              </w:rPr>
              <w:t>)</w:t>
            </w: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shd w:fill="auto" w:val="clear"/>
                <w:lang w:eastAsia="ru-RU"/>
              </w:rPr>
              <w:t>.</w:t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ConsPlusTitle"/>
              <w:widowControl w:val="false"/>
              <w:spacing w:lineRule="auto" w:line="276"/>
              <w:ind w:left="0" w:right="0" w:firstLine="709"/>
              <w:jc w:val="both"/>
              <w:rPr>
                <w:rFonts w:eastAsia="Times New Roman" w:cs="Times New Roman"/>
                <w:b w:val="false"/>
                <w:b w:val="false"/>
                <w:color w:val="00000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right"/>
              <w:outlineLvl w:val="0"/>
              <w:rPr/>
            </w:pPr>
            <w:r>
              <w:rPr>
                <w:rFonts w:ascii="Tinos" w:hAnsi="Tinos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right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к Административному регламенту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Перечень условных обозначений и сокращений, </w:t>
              <w:br/>
              <w:t xml:space="preserve">используемых в приложении к 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>Административн</w:t>
            </w:r>
            <w:r>
              <w:rPr>
                <w:rFonts w:eastAsia="Times New Roman"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shd w:fill="auto" w:val="clear"/>
                <w:lang w:val="ru-RU" w:eastAsia="ar-SA" w:bidi="ar-SA"/>
              </w:rPr>
              <w:t>ому</w:t>
            </w:r>
            <w:r>
              <w:rPr>
                <w:rFonts w:cs="Times New Roman" w:ascii="Tinos" w:hAnsi="Tino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shd w:fill="auto" w:val="clear"/>
              </w:rPr>
              <w:t xml:space="preserve"> регламенту комитета Ивановской области по государственной охране объектов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</w:t>
              <w:br/>
              <w:t>выявленного объекта культурного наследия</w:t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Перечень условных обозначений и сокращений, используемых в приложении </w:t>
              <w:br/>
              <w:t>к Административному регламенту</w:t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ab/>
              <w:t>1. Условные сокращения: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       </w:t>
            </w:r>
            <w:r>
              <w:rPr>
                <w:rFonts w:ascii="Tinos" w:hAnsi="Tinos"/>
                <w:sz w:val="28"/>
                <w:szCs w:val="28"/>
              </w:rPr>
              <w:t>1.1. Объект культурного наследия - объект культурного наследия (памятник истории и культуры) народов Российской Федерации, находящийся на территории Ивановской области.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/>
            </w:pPr>
            <w:r>
              <w:rPr>
                <w:rFonts w:ascii="Tinos" w:hAnsi="Tinos"/>
                <w:sz w:val="28"/>
                <w:szCs w:val="28"/>
              </w:rPr>
              <w:t xml:space="preserve">        </w:t>
            </w:r>
            <w:r>
              <w:rPr>
                <w:rFonts w:ascii="Tinos" w:hAnsi="Tinos"/>
                <w:sz w:val="28"/>
                <w:szCs w:val="28"/>
              </w:rPr>
              <w:t xml:space="preserve">1.2.  </w:t>
            </w:r>
            <w:r>
              <w:rPr>
                <w:rFonts w:eastAsia="Times New Roman" w:cs="Times New Roman" w:ascii="Tinos" w:hAnsi="Tinos"/>
                <w:color w:val="auto"/>
                <w:kern w:val="0"/>
                <w:sz w:val="28"/>
                <w:szCs w:val="28"/>
                <w:lang w:val="ru-RU" w:eastAsia="ar-SA" w:bidi="ar-SA"/>
              </w:rPr>
              <w:t>Проектная</w:t>
            </w:r>
            <w:r>
              <w:rPr>
                <w:rFonts w:ascii="Tinos" w:hAnsi="Tinos"/>
                <w:sz w:val="28"/>
                <w:szCs w:val="28"/>
              </w:rPr>
              <w:t xml:space="preserve"> документация -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на проведение работ по сохранению объекта культурного наследия (памятника истории и культуры) народов Российской Федерации (далее - объект культурного наследия), включенного в единый государственный </w:t>
            </w:r>
            <w:hyperlink r:id="rId5"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color w:val="0000FF"/>
                  <w:sz w:val="28"/>
                  <w:szCs w:val="28"/>
                  <w:u w:val="none"/>
                </w:rPr>
                <w:t>реестр</w:t>
              </w:r>
            </w:hyperlink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объектов культурного наследия (памятников истории и культуры) народов Российской Федерации (далее - Реестр), или выявленного объекта культурного наследия</w:t>
            </w:r>
            <w:hyperlink r:id="rId6"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sz w:val="28"/>
                  <w:szCs w:val="28"/>
                  <w:u w:val="none"/>
                </w:rPr>
                <w:t>.</w:t>
              </w:r>
            </w:hyperlink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        </w:t>
            </w:r>
            <w:hyperlink r:id="rId7">
              <w:r>
                <w:rPr>
                  <w:rFonts w:ascii="Tinos" w:hAnsi="Tinos"/>
                  <w:sz w:val="28"/>
                  <w:szCs w:val="28"/>
                </w:rPr>
                <w:t xml:space="preserve">1.3. Единый портал - федеральная государственная информационная система «Единый портал государственных и муниципальных услуг (функций)». </w:t>
                <w:br/>
                <w:t xml:space="preserve">        1.4. 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        </w:r>
            </w:hyperlink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     </w:t>
            </w:r>
            <w:r>
              <w:rPr>
                <w:rFonts w:ascii="Tinos" w:hAnsi="Tinos"/>
                <w:sz w:val="28"/>
                <w:szCs w:val="28"/>
              </w:rPr>
              <w:t>1.5. Комитет — комитет Ивановской области по государственной охране объектов культурного наследия.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hyperlink r:id="rId8">
              <w:r>
                <w:rPr>
                  <w:rFonts w:ascii="Tinos" w:hAnsi="Tinos"/>
                  <w:sz w:val="28"/>
                  <w:szCs w:val="28"/>
                </w:rPr>
                <w:tab/>
                <w:t>2. Условные обозначения:</w:t>
              </w:r>
            </w:hyperlink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hyperlink r:id="rId9">
              <w:r>
                <w:rPr>
                  <w:rFonts w:ascii="Tinos" w:hAnsi="Tinos"/>
                  <w:sz w:val="28"/>
                  <w:szCs w:val="28"/>
                </w:rPr>
                <w:tab/>
                <w:t xml:space="preserve">2.1. АР — </w:t>
              </w:r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sz w:val="28"/>
                  <w:szCs w:val="28"/>
                  <w:u w:val="none"/>
                </w:rPr>
                <w:t>Административн</w:t>
              </w:r>
              <w:r>
                <w:rPr>
                  <w:rFonts w:eastAsia="Times New Roman" w:cs="Times New Roman" w:ascii="Tinos" w:hAnsi="Tinos"/>
                  <w:b w:val="false"/>
                  <w:i w:val="false"/>
                  <w:strike w:val="false"/>
                  <w:dstrike w:val="false"/>
                  <w:color w:val="auto"/>
                  <w:kern w:val="0"/>
                  <w:sz w:val="28"/>
                  <w:szCs w:val="28"/>
                  <w:u w:val="none"/>
                  <w:lang w:val="ru-RU" w:eastAsia="ar-SA" w:bidi="ar-SA"/>
                </w:rPr>
                <w:t>ый</w:t>
              </w:r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sz w:val="28"/>
                  <w:szCs w:val="28"/>
                  <w:u w:val="none"/>
                </w:rPr>
                <w:t xml:space="preserve"> регламент комитета Ивановской области по государственной охране объектов культурного наследия по предоставлению государственной услуги «Рассмотрение, согласование и утверждение проектов надписей и обозначений, содержащих информацию об объектах культурного наследия (памятниках истории и культуры) народов Российской Федерации федерального значения (за исключением отдельных объектов культурного наследия федерального значения, перечень которых устанавливается Правительством Российской Федерации), объектов культурного наследия регионального значения»</w:t>
              </w:r>
              <w:r>
                <w:rPr>
                  <w:rFonts w:ascii="Tinos" w:hAnsi="Tinos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>.</w:t>
              </w:r>
            </w:hyperlink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hyperlink r:id="rId10">
              <w:r>
                <w:rPr>
                  <w:rFonts w:ascii="Tinos" w:hAnsi="Tinos"/>
                  <w:color w:val="000000"/>
                  <w:sz w:val="28"/>
                  <w:szCs w:val="28"/>
                </w:rPr>
                <w:t xml:space="preserve">         </w:t>
              </w:r>
              <w:r>
                <w:rPr>
                  <w:rFonts w:ascii="Tinos" w:hAnsi="Tinos"/>
                  <w:sz w:val="28"/>
                  <w:szCs w:val="28"/>
                </w:rPr>
                <w:t xml:space="preserve">2.2. </w:t>
              </w:r>
              <w:r>
                <w:rPr>
                  <w:rFonts w:eastAsia="Times New Roman" w:cs="Times New Roman" w:ascii="Tinos" w:hAnsi="Tinos"/>
                  <w:b w:val="false"/>
                  <w:color w:val="000000"/>
                  <w:sz w:val="28"/>
                  <w:szCs w:val="28"/>
                  <w:lang w:eastAsia="ru-RU"/>
                </w:rPr>
                <w:t>Запрос - запрос о предоставлении государственной услуги.</w:t>
              </w:r>
            </w:hyperlink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/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>Форма запроса о предоставлении государственной услуги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/>
            </w:pPr>
            <w:r>
              <w:rPr>
                <w:rFonts w:eastAsia="Times New Roman" w:cs="Times New Roman" w:ascii="Tinos" w:hAnsi="Tino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     </w:t>
            </w:r>
            <w:r>
              <w:rPr>
                <w:rFonts w:eastAsia="Times New Roman" w:cs="Times New Roman" w:ascii="Tinos" w:hAnsi="Tino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Запрос</w:t>
            </w: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 xml:space="preserve"> о предоставлении государственной услуги оформляется в виде заявления </w:t>
            </w:r>
            <w:r>
              <w:rPr>
                <w:rFonts w:eastAsia="Times New Roman" w:cs="Times New Roman" w:ascii="Tinos" w:hAnsi="Tino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по рекомендуемому</w:t>
            </w: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  <w:t xml:space="preserve"> образцу согласно приложению № 1 к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Порядку подготовки</w:t>
              <w:br/>
              <w:t>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</w:t>
              <w:br/>
              <w:t>и культуры) народов Российской Федерации, утвержденному приказом Министерства культуры Российской Федерации от 13.08.2025 № 1455.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u w:val="none"/>
                <w:lang w:eastAsia="ru-RU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 w:eastAsia="Times New Roman" w:cs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Идентификаторы категорий (признаков) заявителей</w:t>
            </w:r>
          </w:p>
          <w:p>
            <w:pPr>
              <w:pStyle w:val="Normal"/>
              <w:widowControl w:val="false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  <w:tbl>
            <w:tblPr>
              <w:tblW w:w="1028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2625"/>
              <w:gridCol w:w="2548"/>
              <w:gridCol w:w="1877"/>
              <w:gridCol w:w="3237"/>
            </w:tblGrid>
            <w:tr>
              <w:trPr/>
              <w:tc>
                <w:tcPr>
                  <w:tcW w:w="51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  <w:lang w:val="ru-RU"/>
                    </w:rPr>
                    <w:t>Перечень отдельных признаков (категорий ) заявителей</w:t>
                  </w:r>
                </w:p>
              </w:tc>
              <w:tc>
                <w:tcPr>
                  <w:tcW w:w="18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7"/>
                    <w:widowControl w:val="false"/>
                    <w:jc w:val="left"/>
                    <w:rPr>
                      <w:rFonts w:ascii="Tinos" w:hAnsi="Tinos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  <w:lang w:val="ru-RU"/>
                    </w:rPr>
                    <w:t>Идентификатор</w:t>
                  </w:r>
                </w:p>
                <w:p>
                  <w:pPr>
                    <w:pStyle w:val="Style27"/>
                    <w:widowControl w:val="false"/>
                    <w:jc w:val="left"/>
                    <w:rPr>
                      <w:rFonts w:ascii="Tinos" w:hAnsi="Tinos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  <w:lang w:val="ru-RU"/>
                    </w:rPr>
                  </w:r>
                </w:p>
              </w:tc>
              <w:tc>
                <w:tcPr>
                  <w:tcW w:w="32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Перечень результатов предоставления государственной услуги</w:t>
                  </w:r>
                </w:p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703" w:hRule="atLeast"/>
              </w:trPr>
              <w:tc>
                <w:tcPr>
                  <w:tcW w:w="2625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>
                      <w:rFonts w:ascii="Tinos" w:hAnsi="Tinos"/>
                      <w:sz w:val="22"/>
                      <w:szCs w:val="22"/>
                    </w:rPr>
                    <w:t>1. Тип заявителя:</w:t>
                  </w:r>
                </w:p>
                <w:p>
                  <w:pPr>
                    <w:pStyle w:val="Normal"/>
                    <w:widowControl w:val="false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254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ascii="Tinos" w:hAnsi="Tinos"/>
                      <w:sz w:val="22"/>
                      <w:szCs w:val="22"/>
                    </w:rPr>
                    <w:t>2. Способ направления запроса</w:t>
                  </w:r>
                </w:p>
              </w:tc>
              <w:tc>
                <w:tcPr>
                  <w:tcW w:w="187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ascii="Tinos" w:hAnsi="Tinos"/>
                      <w:sz w:val="22"/>
                      <w:szCs w:val="22"/>
                    </w:rPr>
                  </w:r>
                </w:p>
              </w:tc>
              <w:tc>
                <w:tcPr>
                  <w:tcW w:w="3237" w:type="dxa"/>
                  <w:vMerge w:val="restar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1) решение о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</w:t>
                  </w:r>
                  <w:r>
                    <w:rPr>
                      <w:rFonts w:cs="Times New Roman" w:ascii="Tinos" w:hAnsi="Tinos"/>
                      <w:b w:val="false"/>
                      <w:i w:val="false"/>
                      <w:caps w:val="false"/>
                      <w:smallCaps w:val="false"/>
                      <w:strike w:val="false"/>
                      <w:dstrike w:val="false"/>
                      <w:color w:val="000000"/>
                      <w:spacing w:val="0"/>
                      <w:sz w:val="20"/>
                      <w:szCs w:val="20"/>
                      <w:u w:val="none"/>
                      <w:shd w:fill="auto" w:val="clear"/>
                    </w:rPr>
                    <w:t>согласовани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caps w:val="false"/>
                      <w:smallCaps w:val="false"/>
                      <w:strike w:val="false"/>
                      <w:dstrike w:val="false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shd w:fill="auto" w:val="clear"/>
                      <w:lang w:val="ru-RU" w:eastAsia="ar-SA" w:bidi="ar-SA"/>
                    </w:rPr>
                    <w:t>и</w:t>
                  </w:r>
                  <w:r>
                    <w:rPr>
                      <w:rFonts w:cs="Times New Roman" w:ascii="Tinos" w:hAnsi="Tinos"/>
                      <w:b w:val="false"/>
                      <w:i w:val="false"/>
                      <w:caps w:val="false"/>
                      <w:smallCaps w:val="false"/>
                      <w:strike w:val="false"/>
                      <w:dstrike w:val="false"/>
                      <w:color w:val="000000"/>
                      <w:spacing w:val="0"/>
                      <w:sz w:val="20"/>
                      <w:szCs w:val="20"/>
                      <w:u w:val="none"/>
                      <w:shd w:fill="auto" w:val="clear"/>
                    </w:rPr>
                    <w:t xml:space="preserve"> проектной документации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;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2) решение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(мотивированное уведомление) об отказе согласовании проектной документации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.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firstLine="709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  <w:t xml:space="preserve">Результат предоставления государственной услуги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предоставляется в форме электронного документа, подписанного усиленной квалифицированной электронной подписью уполномоченного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должностного лица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комитета.</w:t>
                  </w:r>
                </w:p>
                <w:p>
                  <w:pPr>
                    <w:pStyle w:val="Normal"/>
                    <w:widowControl w:val="false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В случае если документы, направлены заявителем посредством почтового отправления или представлены при личном обращении в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комитет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,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результат предоставления государственной услуги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предоставляется в виде письма, подписанного уполномоченным должностным лицом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Комитета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, и направляется заявителю способом, указанным заявителем в заявлении.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bidi w:val="0"/>
                    <w:spacing w:before="0" w:after="0"/>
                    <w:ind w:left="0" w:right="113" w:hanging="0"/>
                    <w:jc w:val="left"/>
                    <w:rPr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u w:val="none"/>
                    </w:rPr>
                  </w:pPr>
                  <w:r>
                    <w:rPr>
                      <w:b w:val="false"/>
                      <w:i w:val="false"/>
                      <w:strike w:val="false"/>
                      <w:dstrike w:val="false"/>
                      <w:u w:val="none"/>
                    </w:rPr>
                  </w:r>
                </w:p>
              </w:tc>
            </w:tr>
            <w:tr>
              <w:trPr>
                <w:trHeight w:val="854" w:hRule="atLeast"/>
              </w:trPr>
              <w:tc>
                <w:tcPr>
                  <w:tcW w:w="2625" w:type="dxa"/>
                  <w:vMerge w:val="restart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left="0" w:hanging="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юридическое лицо, индивидуальны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 предпринимател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ь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, физическ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ое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 лицо </w:t>
                    <w:br/>
                    <w:t>либо их уполномоченны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 представител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ь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254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rPr/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На бумажном носителе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both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при личном обращении заявителя или посредством почтового отправления</w:t>
                  </w:r>
                </w:p>
                <w:p>
                  <w:pPr>
                    <w:pStyle w:val="Normal"/>
                    <w:widowControl w:val="false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87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2"/>
                      <w:szCs w:val="22"/>
                      <w:lang w:val="ru-RU" w:eastAsia="ar-SA" w:bidi="ar-SA"/>
                    </w:rPr>
                    <w:t>З</w:t>
                  </w:r>
                  <w:r>
                    <w:rPr>
                      <w:rFonts w:ascii="Tinos" w:hAnsi="Tinos"/>
                      <w:sz w:val="22"/>
                      <w:szCs w:val="22"/>
                    </w:rPr>
                    <w:t xml:space="preserve"> — Б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ascii="Tinos" w:hAnsi="Tinos"/>
                      <w:sz w:val="22"/>
                      <w:szCs w:val="22"/>
                    </w:rPr>
                  </w:r>
                </w:p>
              </w:tc>
              <w:tc>
                <w:tcPr>
                  <w:tcW w:w="3237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ascii="Tinos" w:hAnsi="Tinos"/>
                      <w:sz w:val="22"/>
                      <w:szCs w:val="22"/>
                    </w:rPr>
                  </w:r>
                </w:p>
              </w:tc>
            </w:tr>
            <w:tr>
              <w:trPr>
                <w:trHeight w:val="662" w:hRule="atLeast"/>
              </w:trPr>
              <w:tc>
                <w:tcPr>
                  <w:tcW w:w="2625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254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 xml:space="preserve">В </w:t>
                  </w: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  <w:t>форме электронных документов посредством Единого портала</w:t>
                  </w:r>
                </w:p>
              </w:tc>
              <w:tc>
                <w:tcPr>
                  <w:tcW w:w="187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2"/>
                      <w:szCs w:val="22"/>
                      <w:lang w:val="ru-RU" w:eastAsia="ar-SA" w:bidi="ar-SA"/>
                    </w:rPr>
                    <w:t>З</w:t>
                  </w:r>
                  <w:r>
                    <w:rPr>
                      <w:rFonts w:ascii="Tinos" w:hAnsi="Tinos"/>
                      <w:sz w:val="22"/>
                      <w:szCs w:val="22"/>
                    </w:rPr>
                    <w:t xml:space="preserve"> - Э</w:t>
                  </w:r>
                </w:p>
              </w:tc>
              <w:tc>
                <w:tcPr>
                  <w:tcW w:w="3237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left"/>
                    <w:rPr>
                      <w:rFonts w:ascii="Tinos" w:hAnsi="Tinos"/>
                      <w:sz w:val="22"/>
                      <w:szCs w:val="22"/>
                    </w:rPr>
                  </w:pPr>
                  <w:r>
                    <w:rPr>
                      <w:rFonts w:ascii="Tinos" w:hAnsi="Tinos"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120" w:after="120"/>
              <w:ind w:left="0" w:right="0" w:firstLine="709"/>
              <w:jc w:val="both"/>
              <w:rPr>
                <w:rFonts w:ascii="Tinos" w:hAnsi="Tinos"/>
                <w:sz w:val="28"/>
                <w:szCs w:val="28"/>
                <w:shd w:fill="FFFF00" w:val="clear"/>
              </w:rPr>
            </w:pPr>
            <w:r>
              <w:rPr>
                <w:rFonts w:ascii="Tinos" w:hAnsi="Tinos"/>
                <w:sz w:val="28"/>
                <w:szCs w:val="28"/>
                <w:shd w:fill="FFFF00" w:val="clear"/>
              </w:rPr>
            </w:r>
          </w:p>
          <w:p>
            <w:pPr>
              <w:pStyle w:val="Normal"/>
              <w:widowControl w:val="false"/>
              <w:spacing w:before="120" w:after="120"/>
              <w:ind w:left="0" w:right="0" w:firstLine="709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hyperlink r:id="rId11">
              <w:r>
                <w:rPr>
                  <w:rFonts w:ascii="Tinos" w:hAnsi="Tinos"/>
                  <w:sz w:val="28"/>
                  <w:szCs w:val="28"/>
                </w:rPr>
                <w:t xml:space="preserve">Исчерпывающий перечень документов, </w:t>
                <w:br/>
                <w:t>необходимых для предоставления государственной услуги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tbl>
            <w:tblPr>
              <w:tblW w:w="998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450"/>
              <w:gridCol w:w="1522"/>
              <w:gridCol w:w="1475"/>
              <w:gridCol w:w="3287"/>
              <w:gridCol w:w="3254"/>
            </w:tblGrid>
            <w:tr>
              <w:trPr>
                <w:trHeight w:val="561" w:hRule="atLeast"/>
              </w:trPr>
              <w:tc>
                <w:tcPr>
                  <w:tcW w:w="450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hyperlink r:id="rId12">
                    <w:r>
                      <w:rPr>
                        <w:sz w:val="20"/>
                        <w:szCs w:val="20"/>
                      </w:rPr>
                      <w:t xml:space="preserve">№ </w:t>
                    </w:r>
                    <w:r>
                      <w:rPr>
                        <w:sz w:val="20"/>
                        <w:szCs w:val="20"/>
                      </w:rPr>
                      <w:t>п/п</w:t>
                    </w:r>
                  </w:hyperlink>
                </w:p>
              </w:tc>
              <w:tc>
                <w:tcPr>
                  <w:tcW w:w="15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hyperlink r:id="rId13">
                    <w:r>
                      <w:rPr>
                        <w:sz w:val="20"/>
                        <w:szCs w:val="20"/>
                      </w:rPr>
                      <w:t>Идентификатор категорий (признаков) заявителя</w:t>
                    </w:r>
                  </w:hyperlink>
                </w:p>
              </w:tc>
              <w:tc>
                <w:tcPr>
                  <w:tcW w:w="147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hyperlink r:id="rId14">
                    <w:r>
                      <w:rPr>
                        <w:sz w:val="20"/>
                        <w:szCs w:val="20"/>
                      </w:rPr>
                      <w:t>Способ подачи документов</w:t>
                    </w:r>
                  </w:hyperlink>
                </w:p>
              </w:tc>
              <w:tc>
                <w:tcPr>
                  <w:tcW w:w="654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0"/>
                      <w:szCs w:val="20"/>
                      <w:lang w:val="ru-RU"/>
                    </w:rPr>
                  </w:pPr>
                  <w:hyperlink r:id="rId15">
                    <w:r>
                      <w:rPr>
                        <w:rFonts w:ascii="Tinos" w:hAnsi="Tinos"/>
                        <w:sz w:val="20"/>
                        <w:szCs w:val="20"/>
                        <w:lang w:val="ru-RU"/>
                      </w:rPr>
                      <w:t>Исчерпывающий перечень документов, необходимых для предоставления государственной услуги</w:t>
                    </w:r>
                  </w:hyperlink>
                </w:p>
              </w:tc>
            </w:tr>
            <w:tr>
              <w:trPr>
                <w:trHeight w:val="562" w:hRule="atLeast"/>
              </w:trPr>
              <w:tc>
                <w:tcPr>
                  <w:tcW w:w="450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522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475" w:type="dxa"/>
                  <w:vMerge w:val="continue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328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  <w:lang w:val="ru-RU"/>
                    </w:rPr>
                    <w:t>Документы, которые заявитель должен представить самостоятельно</w:t>
                  </w:r>
                </w:p>
              </w:tc>
              <w:tc>
                <w:tcPr>
                  <w:tcW w:w="325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0"/>
                      <w:szCs w:val="20"/>
                      <w:lang w:val="ru-RU"/>
                    </w:rPr>
                  </w:pPr>
                  <w:hyperlink r:id="rId16">
                    <w:r>
                      <w:rPr>
                        <w:rFonts w:ascii="Tinos" w:hAnsi="Tinos"/>
                        <w:sz w:val="20"/>
                        <w:szCs w:val="20"/>
                        <w:lang w:val="ru-RU"/>
                      </w:rPr>
                      <w:t xml:space="preserve">Документы, которые заявитель вправе  представить </w:t>
                      <w:br/>
                      <w:t>по собственной инициативе</w:t>
                    </w:r>
                  </w:hyperlink>
                </w:p>
              </w:tc>
            </w:tr>
            <w:tr>
              <w:trPr/>
              <w:tc>
                <w:tcPr>
                  <w:tcW w:w="4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hyperlink r:id="rId17">
                    <w:r>
                      <w:rPr>
                        <w:sz w:val="20"/>
                        <w:szCs w:val="20"/>
                      </w:rPr>
                      <w:t>1</w:t>
                    </w:r>
                  </w:hyperlink>
                </w:p>
              </w:tc>
              <w:tc>
                <w:tcPr>
                  <w:tcW w:w="152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Tinos" w:hAnsi="Tinos" w:eastAsia="Times New Roman" w:cs="Times New Roman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</w:pPr>
                  <w:hyperlink r:id="rId18">
                    <w:r>
                      <w:rPr>
                        <w:rFonts w:eastAsia="Times New Roman" w:cs="Times New Roman" w:ascii="Tinos" w:hAnsi="Tinos"/>
                        <w:color w:val="auto"/>
                        <w:kern w:val="0"/>
                        <w:sz w:val="20"/>
                        <w:szCs w:val="20"/>
                        <w:lang w:val="ru-RU" w:eastAsia="ar-SA" w:bidi="ar-SA"/>
                      </w:rPr>
                      <w:t>З - Б</w:t>
                    </w:r>
                  </w:hyperlink>
                </w:p>
                <w:p>
                  <w:pPr>
                    <w:pStyle w:val="Normal"/>
                    <w:widowControl w:val="false"/>
                    <w:rPr>
                      <w:rFonts w:ascii="Tinos" w:hAnsi="Tinos" w:eastAsia="Times New Roman" w:cs="Times New Roman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</w:pP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</w:r>
                </w:p>
              </w:tc>
              <w:tc>
                <w:tcPr>
                  <w:tcW w:w="147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jc w:val="left"/>
                    <w:rPr/>
                  </w:pPr>
                  <w:hyperlink r:id="rId19">
                    <w:r>
                      <w:rPr>
                        <w:rFonts w:ascii="Tinos" w:hAnsi="Tinos"/>
                        <w:sz w:val="20"/>
                        <w:szCs w:val="20"/>
                      </w:rPr>
                      <w:t>на бумажном носителе:</w:t>
                    </w:r>
                  </w:hyperlink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hyperlink r:id="rId20">
                    <w:r>
                      <w:rPr>
                        <w:rFonts w:ascii="Tinos" w:hAnsi="Tinos"/>
                        <w:sz w:val="20"/>
                        <w:szCs w:val="20"/>
                      </w:rPr>
                      <w:t>при личном обращении</w:t>
                    </w:r>
                  </w:hyperlink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Normal"/>
                    <w:widowControl w:val="false"/>
                    <w:jc w:val="left"/>
                    <w:rPr/>
                  </w:pPr>
                  <w:r>
                    <w:rPr/>
                  </w:r>
                </w:p>
                <w:p>
                  <w:pPr>
                    <w:pStyle w:val="Style27"/>
                    <w:widowControl w:val="false"/>
                    <w:jc w:val="left"/>
                    <w:rPr/>
                  </w:pPr>
                  <w:hyperlink r:id="rId21">
                    <w:r>
                      <w:rPr>
                        <w:rFonts w:ascii="Tinos" w:hAnsi="Tinos"/>
                        <w:sz w:val="20"/>
                        <w:szCs w:val="20"/>
                      </w:rPr>
                      <w:t>Путем отправки по почте</w:t>
                    </w:r>
                  </w:hyperlink>
                </w:p>
              </w:tc>
              <w:tc>
                <w:tcPr>
                  <w:tcW w:w="328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 xml:space="preserve">1. Запрос о предоставлении государственной услуги,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подписанн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ый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руководителем юридического лица, индивидуальным предпринимателем или физическим лицом либо их уполномоченными представителями (подлинник в одном экземпляре)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2. П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оложительное заключение Экспертизы проектной документации на электронном носителе в форме электронного документа в формате PDF, подписанное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3. Проектная документаци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я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на электронном носителе в форме электронного документа в формате PDF, подписанн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ая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4. Документ, удостоверяющий личность заявителя, подлинник (предоставляется для просмотра (снятия копии) в начале оказания услуги)</w:t>
                  </w:r>
                </w:p>
                <w:p>
                  <w:pPr>
                    <w:pStyle w:val="Normal"/>
                    <w:widowControl w:val="false"/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5. Документ, подтверждающий полномочия лица, подписавшего заявление (для юридического лица) (предоставляется для просмотра (снятия копии) в начале оказания услуги или в копии, заверенной в установленном законодательством порядке):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выписка из приказа о назначении на должность либо копия данного приказа.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случае обращения через представителя дополнительно: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1. Документ, удостоверяющий личность представителя,  (предоставляется для просмотра (снятия копии) в начале оказания услуги или в копии, заверенной в установленном законодательством порядке)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2. Документ, подтверждающий полномочия представителя на совершение действий от имени юридического лица, индивидуального предпринимателя или физического лица (предоставляется для просмотра (снятия копии) в начале оказания услуги или в копии, заверенной в установленном законодательством порядке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 xml:space="preserve">1. Запрос о предоставлении государственной услуги,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подписанн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ый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руководителем юридического лица, индивидуальным предпринимателем или физическим лицом либо их уполномоченными представителями (подлинник в одном экземпляре)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2. П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оложительное заключение Экспертизы проектной документации на электронном носителе в форме электронного документа в формате PDF, подписанное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3. Проектная документация на электронном носителе в форме электронного документа в формате PDF, подписанная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 xml:space="preserve">4. Документ, удостоверяющий личность заявителя, подлинник (предоставляется </w:t>
                  </w: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  <w:t>в копии, заверенной в установленном порядке)</w:t>
                  </w:r>
                </w:p>
                <w:p>
                  <w:pPr>
                    <w:pStyle w:val="Normal"/>
                    <w:widowControl w:val="false"/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 xml:space="preserve">5. Документ, подтверждающий полномочия лица, подписавшего заявление (для юридического лица) (предоставляется </w:t>
                  </w: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  <w:t>в оригинале</w:t>
                  </w:r>
                  <w:r>
                    <w:rPr>
                      <w:rFonts w:ascii="Tinos" w:hAnsi="Tinos"/>
                      <w:sz w:val="20"/>
                      <w:szCs w:val="20"/>
                    </w:rPr>
                    <w:t xml:space="preserve"> или в копии, заверенной в установленном законодательством порядке):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выписка из приказа о назначении на должность либо копия данного приказа.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случае обращения через представителя дополнительно: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1. Документ, удостоверяющий личность представителя,  (предоставляется в копии, заверенной в установленном законодательством порядке)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2. Документ, подтверждающий полномочия представителя на совершение действий от имени юридического лица, индивидуального предпринимателя или физического лица (предоставляется в копии, заверенной в установленном законодательством порядке)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325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hyperlink r:id="rId22">
                    <w:r>
                      <w:rPr>
                        <w:sz w:val="20"/>
                        <w:szCs w:val="20"/>
                      </w:rPr>
                      <w:t>2</w:t>
                    </w:r>
                  </w:hyperlink>
                </w:p>
              </w:tc>
              <w:tc>
                <w:tcPr>
                  <w:tcW w:w="152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</w:t>
                  </w:r>
                  <w:hyperlink r:id="rId23">
                    <w:r>
                      <w:rPr>
                        <w:sz w:val="20"/>
                        <w:szCs w:val="20"/>
                      </w:rPr>
                      <w:t xml:space="preserve"> – Э</w:t>
                    </w:r>
                  </w:hyperlink>
                </w:p>
                <w:p>
                  <w:pPr>
                    <w:pStyle w:val="Style27"/>
                    <w:widowControl w:val="false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47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Style27"/>
                    <w:widowControl w:val="false"/>
                    <w:jc w:val="left"/>
                    <w:rPr/>
                  </w:pPr>
                  <w:hyperlink r:id="rId24">
                    <w:r>
                      <w:rPr>
                        <w:rFonts w:ascii="Tinos" w:hAnsi="Tinos"/>
                        <w:color w:val="000000"/>
                        <w:sz w:val="20"/>
                        <w:szCs w:val="20"/>
                      </w:rPr>
                      <w:t>В электронной форме через ЕПГУ</w:t>
                    </w:r>
                  </w:hyperlink>
                </w:p>
              </w:tc>
              <w:tc>
                <w:tcPr>
                  <w:tcW w:w="328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При подаче физическим лицом или его уполномоченным представителем: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eastAsia="Times New Roman" w:cs="Times New Roman" w:ascii="Tinos" w:hAnsi="Tinos"/>
                      <w:color w:val="000000"/>
                      <w:kern w:val="0"/>
                      <w:sz w:val="20"/>
                      <w:szCs w:val="20"/>
                      <w:lang w:val="ru-RU" w:eastAsia="ar-SA" w:bidi="ar-SA"/>
                    </w:rPr>
                    <w:t xml:space="preserve">Запрос о предоставлении государственной услуги,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подписанный физическим лицом или его уполномоченным представителем простой электронной подписью, усиленной квалифицированной электронной подписью физического лица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установленном Правительством Российской Федерации порядке (УНЭП ЕСИА).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>Сведения из документа, удостоверяющего личность заявителя, проверяются при подтверждении учетной записи в ЕСИА без необходимости дополнительного предоставления документа, удостоверяющего личность в иной форме и (или) иным способом.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>2.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 П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оложительное заключение государственной историко-культурной экспертизы (далее - Экспертиза)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3.  Проектная документация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>В случае обращения через представителя дополнительно: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>Документ, подтверждающий полномочия представителя на совершение действий от имени  физического лица (электронный образ).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</w:rPr>
                    <w:t>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подписью.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При подаче юридическим лицом, индивидуальным предпринимателем: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1.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Запрос о предоставлении государственной услуги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, подписанн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ый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усиленной квалифицированной электронной подписью.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</w:rPr>
                    <w:t>Сведения из документа, удостоверяющего личность заявителя, проверяются при подтверждении учетной записи в ЕСИА без необходимости дополнительного предоставления документа, удостоверяющего личность в иной форме и (или) иным способом.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</w:rPr>
                    <w:t>2. П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оложительное заключение Экспертизы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3. Проектн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ая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документаци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я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pPr>
                  <w:r>
                    <w:rPr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При подаче уполномоченным представителем юридического лица, индивидуального предпринимателя: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1. Запрос о предоставлении государственной услуги, подписанн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ый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УНЭП ЕСИА либо усиленной квалифицированной электронной подписью физического лица - уполномоченного представителя (при наличии машиночитаемой доверенности, подтверждающей его полномочия, сформированной на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Едином портале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).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2. Положительное заключение Экспертизы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лица;</w:t>
                  </w:r>
                </w:p>
                <w:p>
                  <w:pPr>
                    <w:pStyle w:val="Normal"/>
                    <w:widowControl w:val="false"/>
                    <w:spacing w:before="200" w:after="0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3. Проектная документация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документацию;</w:t>
                  </w:r>
                </w:p>
                <w:p>
                  <w:pPr>
                    <w:pStyle w:val="Normal"/>
                    <w:widowControl w:val="false"/>
                    <w:spacing w:before="200" w:after="0"/>
                    <w:ind w:left="0" w:hanging="0"/>
                    <w:jc w:val="left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 xml:space="preserve">4. Документ, подтверждающий полномочия лица на совершение действий от имени юридического лица, индивидуального предпринимателя или физического лица (при отсутствии машиночитаемой доверенности, сформированной на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Едином портале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  <w:t>).</w:t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pPr>
                  <w:r>
                    <w:rPr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ind w:left="0" w:hanging="0"/>
                    <w:jc w:val="left"/>
                    <w:rPr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pPr>
                  <w:r>
                    <w:rPr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b w:val="false"/>
                      <w:b w:val="false"/>
                      <w:i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pPr>
                  <w:r>
                    <w:rPr>
                      <w:b w:val="false"/>
                      <w:i w:val="false"/>
                      <w:strike w:val="false"/>
                      <w:dstrike w:val="false"/>
                      <w:sz w:val="20"/>
                      <w:u w:val="none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ind w:lef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325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spacing w:before="120" w:after="12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before="285" w:after="285"/>
              <w:jc w:val="both"/>
              <w:rPr>
                <w:rFonts w:ascii="Tinos" w:hAnsi="Tinos"/>
                <w:sz w:val="28"/>
                <w:szCs w:val="28"/>
              </w:rPr>
            </w:pPr>
            <w:hyperlink r:id="rId25">
              <w:r>
                <w:rPr>
                  <w:rFonts w:ascii="Tinos" w:hAnsi="Tinos"/>
                  <w:sz w:val="28"/>
                  <w:szCs w:val="28"/>
                </w:rPr>
                <w:t xml:space="preserve">       </w:t>
              </w:r>
              <w:r>
                <w:rPr>
                  <w:rFonts w:ascii="Tinos" w:hAnsi="Tinos"/>
                  <w:sz w:val="28"/>
                  <w:szCs w:val="28"/>
                </w:rPr>
                <w:t>Требования к представлению документов заявителем, включая требования</w:t>
                <w:br/>
                <w:t>к формату, количеству, представлению документов только отдельными категориями заявителей, и иные необходимые требования отсутствуют.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hyperlink r:id="rId26">
              <w:r>
                <w:rPr>
                  <w:rFonts w:ascii="Tinos" w:hAnsi="Tinos"/>
                  <w:sz w:val="28"/>
                  <w:szCs w:val="28"/>
                </w:rPr>
                <w:t xml:space="preserve">Исчерпывающий перечень оснований для отказа в приеме запроса </w:t>
                <w:br/>
                <w:t>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2072"/>
              <w:gridCol w:w="2558"/>
              <w:gridCol w:w="2552"/>
              <w:gridCol w:w="2914"/>
            </w:tblGrid>
            <w:tr>
              <w:trPr/>
              <w:tc>
                <w:tcPr>
                  <w:tcW w:w="2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hyperlink r:id="rId27">
                    <w:r>
                      <w:rPr>
                        <w:rFonts w:ascii="Tinos" w:hAnsi="Tinos"/>
                        <w:sz w:val="20"/>
                        <w:szCs w:val="20"/>
                      </w:rPr>
                      <w:t>Идентификаторы категорий (признаков) заявителей)</w:t>
                    </w:r>
                  </w:hyperlink>
                </w:p>
              </w:tc>
              <w:tc>
                <w:tcPr>
                  <w:tcW w:w="2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Tinos" w:hAnsi="Tinos"/>
                    </w:rPr>
                  </w:pPr>
                  <w:hyperlink r:id="rId28">
                    <w:r>
                      <w:rPr>
                        <w:rFonts w:ascii="Tinos" w:hAnsi="Tinos"/>
                      </w:rPr>
              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              </w:r>
                  </w:hyperlink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Tinos" w:hAnsi="Tinos"/>
                    </w:rPr>
                  </w:pPr>
                  <w:hyperlink r:id="rId29">
                    <w:r>
                      <w:rPr>
                        <w:rFonts w:ascii="Tinos" w:hAnsi="Tinos"/>
                      </w:rPr>
                      <w:t>Исчерпывающий перечень оснований для приостановления предоставления государственной услуги</w:t>
                    </w:r>
                  </w:hyperlink>
                </w:p>
              </w:tc>
              <w:tc>
                <w:tcPr>
                  <w:tcW w:w="2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Tinos" w:hAnsi="Tinos"/>
                    </w:rPr>
                  </w:pPr>
                  <w:hyperlink r:id="rId30">
                    <w:r>
                      <w:rPr>
                        <w:rFonts w:ascii="Tinos" w:hAnsi="Tinos"/>
                      </w:rPr>
                      <w:t>Исчерпывающий перечень оснований для отказа в предоставлении государственной услуги</w:t>
                    </w:r>
                  </w:hyperlink>
                </w:p>
                <w:p>
                  <w:pPr>
                    <w:pStyle w:val="Style27"/>
                    <w:widowControl w:val="false"/>
                    <w:jc w:val="center"/>
                    <w:rPr>
                      <w:rFonts w:ascii="Tinos" w:hAnsi="Tinos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  <w:lang w:val="ru-RU"/>
                    </w:rPr>
                  </w:r>
                </w:p>
              </w:tc>
            </w:tr>
            <w:tr>
              <w:trPr/>
              <w:tc>
                <w:tcPr>
                  <w:tcW w:w="2072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Tinos" w:hAnsi="Tinos" w:eastAsia="Times New Roman" w:cs="Times New Roman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</w:pPr>
                  <w:r>
                    <w:rPr>
                      <w:rFonts w:eastAsia="Times New Roman" w:cs="Times New Roman" w:ascii="Tinos" w:hAnsi="Tinos"/>
                      <w:color w:val="auto"/>
                      <w:kern w:val="0"/>
                      <w:sz w:val="20"/>
                      <w:szCs w:val="20"/>
                      <w:lang w:val="ru-RU" w:eastAsia="ar-SA" w:bidi="ar-SA"/>
                    </w:rPr>
                    <w:t>З</w:t>
                  </w:r>
                  <w:hyperlink r:id="rId31">
                    <w:r>
                      <w:rPr>
                        <w:rFonts w:eastAsia="Times New Roman" w:cs="Times New Roman" w:ascii="Tinos" w:hAnsi="Tinos"/>
                        <w:color w:val="auto"/>
                        <w:kern w:val="0"/>
                        <w:sz w:val="20"/>
                        <w:szCs w:val="20"/>
                        <w:lang w:val="ru-RU" w:eastAsia="ar-SA" w:bidi="ar-SA"/>
                      </w:rPr>
                      <w:t xml:space="preserve"> — Б, З - Э</w:t>
                    </w:r>
                  </w:hyperlink>
                </w:p>
              </w:tc>
              <w:tc>
                <w:tcPr>
                  <w:tcW w:w="25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20"/>
                      <w:tab w:val="left" w:pos="709" w:leader="none"/>
                    </w:tabs>
                    <w:rPr>
                      <w:rFonts w:ascii="Tinos" w:hAnsi="Tinos"/>
                      <w:color w:val="000000"/>
                    </w:rPr>
                  </w:pPr>
                  <w:hyperlink r:id="rId32">
                    <w:r>
                      <w:rPr>
                        <w:rFonts w:ascii="Tinos" w:hAnsi="Tinos"/>
                        <w:color w:val="000000"/>
                      </w:rPr>
                      <w:t>Оснований для отказа в приеме запроса предоставления государственной услуги не предусмотрено</w:t>
                    </w:r>
                  </w:hyperlink>
                </w:p>
                <w:p>
                  <w:pPr>
                    <w:pStyle w:val="Normal"/>
                    <w:widowControl w:val="false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rFonts w:ascii="Tinos" w:hAnsi="Tinos"/>
                      <w:color w:val="000000"/>
                    </w:rPr>
                  </w:pPr>
                  <w:r>
                    <w:rPr>
                      <w:rFonts w:ascii="Tinos" w:hAnsi="Tinos"/>
                      <w:color w:val="000000"/>
                    </w:rPr>
                    <w:t>Оснований для приостановления предоставления государственной услуги не предусмотрено</w:t>
                  </w:r>
                </w:p>
              </w:tc>
              <w:tc>
                <w:tcPr>
                  <w:tcW w:w="291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color w:val="000000"/>
                      <w:sz w:val="20"/>
                      <w:szCs w:val="20"/>
                      <w:shd w:fill="auto" w:val="clear"/>
                    </w:rPr>
                    <w:t xml:space="preserve">1)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  <w:shd w:fill="auto" w:val="clear"/>
                    </w:rPr>
                    <w:t xml:space="preserve">представление неполного комплекта документов, предусмотренных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sz w:val="20"/>
                      <w:szCs w:val="20"/>
                      <w:u w:val="none"/>
                      <w:shd w:fill="auto" w:val="clear"/>
                    </w:rPr>
                    <w:t>пунктом 10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  <w:shd w:fill="auto" w:val="clear"/>
                    </w:rPr>
                    <w:t xml:space="preserve"> Порядка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Федерации, утвержденного Приказом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kern w:val="0"/>
                      <w:sz w:val="20"/>
                      <w:szCs w:val="20"/>
                      <w:u w:val="none"/>
                      <w:shd w:fill="auto" w:val="clear"/>
                      <w:lang w:val="ru-RU" w:eastAsia="ar-SA" w:bidi="ar-SA"/>
                    </w:rPr>
                    <w:t>Министерства культуры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  <w:shd w:fill="auto" w:val="clear"/>
                    </w:rPr>
                    <w:t xml:space="preserve"> Российской Федерации от 13.08.2025 № 1455 (далее — Порядок),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kern w:val="0"/>
                      <w:sz w:val="20"/>
                      <w:szCs w:val="20"/>
                      <w:u w:val="none"/>
                      <w:shd w:fill="auto" w:val="clear"/>
                      <w:lang w:val="ru-RU" w:eastAsia="ar-SA" w:bidi="ar-SA"/>
                    </w:rPr>
                    <w:t>и приведенных в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  <w:shd w:fill="auto" w:val="clear"/>
                    </w:rPr>
                    <w:t xml:space="preserve"> настоящем приложени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kern w:val="0"/>
                      <w:sz w:val="20"/>
                      <w:szCs w:val="20"/>
                      <w:u w:val="none"/>
                      <w:shd w:fill="auto" w:val="clear"/>
                      <w:lang w:val="ru-RU" w:eastAsia="ar-SA" w:bidi="ar-SA"/>
                    </w:rPr>
                    <w:t>и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z w:val="20"/>
                      <w:szCs w:val="20"/>
                      <w:u w:val="none"/>
                    </w:rPr>
                    <w:t>;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2)  наличие недостоверных сведений в документах, предусмотренных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sz w:val="20"/>
                      <w:szCs w:val="20"/>
                      <w:u w:val="none"/>
                    </w:rPr>
                    <w:t>пунктом 10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 Порядка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и приведенных в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настоящем приложени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и;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3) несоответствие проектной документации документам, предусмотренным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подпунктами «а»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, «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б»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 и «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г» пункта 5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 xml:space="preserve"> Порядка;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4) направленные документы, предусмотренные 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FF"/>
                      <w:sz w:val="20"/>
                      <w:szCs w:val="20"/>
                      <w:u w:val="none"/>
                    </w:rPr>
                    <w:t>пунктом 10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Порядка и приведенные в настоящем приложении, подписаны лицом, не имеющим на то полномочий.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/>
                  </w:pP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5) несогласие 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Комитета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 xml:space="preserve"> с заключением государственной историко-культурной экспертиз</w:t>
                  </w:r>
                  <w:r>
                    <w:rPr>
                      <w:rFonts w:eastAsia="Times New Roman" w:cs="Times New Roman" w:ascii="Tinos" w:hAnsi="Tinos"/>
                      <w:b w:val="false"/>
                      <w:i w:val="false"/>
                      <w:strike w:val="false"/>
                      <w:dstrike w:val="false"/>
                      <w:color w:val="auto"/>
                      <w:kern w:val="0"/>
                      <w:sz w:val="20"/>
                      <w:szCs w:val="20"/>
                      <w:u w:val="none"/>
                      <w:lang w:val="ru-RU" w:eastAsia="ar-SA" w:bidi="ar-SA"/>
                    </w:rPr>
                    <w:t>ы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sz w:val="20"/>
                      <w:szCs w:val="20"/>
                      <w:u w:val="none"/>
                    </w:rPr>
                    <w:t>.</w:t>
                  </w:r>
                </w:p>
                <w:p>
                  <w:pPr>
                    <w:pStyle w:val="Normal"/>
                    <w:widowControl w:val="false"/>
                    <w:spacing w:lineRule="auto" w:line="276" w:before="0" w:after="0"/>
                    <w:ind w:left="0" w:right="0" w:hanging="0"/>
                    <w:jc w:val="left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right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</w:r>
          </w:p>
        </w:tc>
      </w:tr>
      <w:tr>
        <w:trPr>
          <w:trHeight w:val="2325" w:hRule="atLeast"/>
        </w:trPr>
        <w:tc>
          <w:tcPr>
            <w:tcW w:w="10313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ind w:left="0" w:right="0" w:firstLine="68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contextualSpacing/>
        <w:jc w:val="center"/>
        <w:rPr/>
      </w:pPr>
      <w:r>
        <w:rPr/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1">
    <w:name w:val="Heading 1"/>
    <w:basedOn w:val="Normal"/>
    <w:qFormat/>
    <w:pPr>
      <w:suppressAutoHyphens w:val="false"/>
      <w:spacing w:before="39" w:after="0"/>
      <w:ind w:left="374" w:right="465" w:hanging="0"/>
      <w:jc w:val="center"/>
      <w:outlineLvl w:val="0"/>
    </w:pPr>
    <w:rPr>
      <w:rFonts w:ascii="Bookman Old Style" w:hAnsi="Bookman Old Style" w:eastAsia="Bookman Old Style" w:cs="Bookman Old Style"/>
      <w:sz w:val="27"/>
      <w:szCs w:val="27"/>
      <w:lang w:eastAsia="en-US"/>
    </w:rPr>
  </w:style>
  <w:style w:type="paragraph" w:styleId="2">
    <w:name w:val="Heading 2"/>
    <w:basedOn w:val="Style20"/>
    <w:next w:val="Style21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Style12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ar-SA"/>
    </w:rPr>
  </w:style>
  <w:style w:type="character" w:styleId="11">
    <w:name w:val="Табличный Знак1"/>
    <w:qFormat/>
    <w:rPr>
      <w:rFonts w:ascii="Arial" w:hAnsi="Arial" w:eastAsia="Times New Roman" w:cs="Arial"/>
      <w:sz w:val="18"/>
      <w:szCs w:val="24"/>
      <w:lang w:eastAsia="ar-SA"/>
    </w:rPr>
  </w:style>
  <w:style w:type="character" w:styleId="Style13">
    <w:name w:val="Основной текст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12">
    <w:name w:val="Гиперссылка1"/>
    <w:basedOn w:val="DefaultParagraphFont"/>
    <w:qFormat/>
    <w:rPr>
      <w:color w:val="0000FF"/>
      <w:u w:val="single"/>
    </w:rPr>
  </w:style>
  <w:style w:type="character" w:styleId="13">
    <w:name w:val="Заголовок 1 Знак"/>
    <w:basedOn w:val="DefaultParagraphFont"/>
    <w:qFormat/>
    <w:rPr>
      <w:rFonts w:ascii="Bookman Old Style" w:hAnsi="Bookman Old Style" w:eastAsia="Bookman Old Style" w:cs="Bookman Old Style"/>
      <w:sz w:val="27"/>
      <w:szCs w:val="27"/>
    </w:rPr>
  </w:style>
  <w:style w:type="character" w:styleId="Style14">
    <w:name w:val="Название Знак"/>
    <w:basedOn w:val="DefaultParagraphFont"/>
    <w:qFormat/>
    <w:rPr>
      <w:rFonts w:ascii="Times New Roman" w:hAnsi="Times New Roman" w:eastAsia="Times New Roman" w:cs="Times New Roman"/>
      <w:sz w:val="36"/>
      <w:szCs w:val="36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7">
    <w:name w:val="Интернет-ссылка"/>
    <w:rPr>
      <w:color w:val="000080"/>
      <w:u w:val="singl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8">
    <w:name w:val="Текст примечания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9">
    <w:name w:val="Тема примечания Знак"/>
    <w:basedOn w:val="Style18"/>
    <w:qFormat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pPr>
      <w:spacing w:before="0" w:after="120"/>
    </w:pPr>
    <w:rPr/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5">
    <w:name w:val="Таблица Центр"/>
    <w:basedOn w:val="Normal"/>
    <w:autoRedefine/>
    <w:qFormat/>
    <w:pPr>
      <w:widowControl/>
      <w:suppressAutoHyphens w:val="false"/>
      <w:spacing w:before="0" w:after="60"/>
      <w:ind w:left="-113" w:right="-113" w:hanging="0"/>
      <w:jc w:val="center"/>
    </w:pPr>
    <w:rPr>
      <w:rFonts w:ascii="Arial" w:hAnsi="Arial"/>
      <w:sz w:val="18"/>
      <w:szCs w:val="24"/>
      <w:lang w:eastAsia="ru-RU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Style26">
    <w:name w:val="Табличный"/>
    <w:basedOn w:val="Style21"/>
    <w:qFormat/>
    <w:pPr>
      <w:widowControl/>
      <w:spacing w:lineRule="atLeast" w:line="100" w:before="0" w:after="0"/>
    </w:pPr>
    <w:rPr>
      <w:rFonts w:ascii="Arial" w:hAnsi="Arial" w:cs="Arial"/>
      <w:sz w:val="18"/>
      <w:szCs w:val="24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ru-RU" w:bidi="ar-SA"/>
    </w:rPr>
  </w:style>
  <w:style w:type="paragraph" w:styleId="Style27">
    <w:name w:val="Содержимое таблицы"/>
    <w:basedOn w:val="Normal"/>
    <w:qFormat/>
    <w:pPr>
      <w:suppressLineNumber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Style28">
    <w:name w:val="Title"/>
    <w:basedOn w:val="Normal"/>
    <w:qFormat/>
    <w:pPr>
      <w:suppressAutoHyphens w:val="false"/>
      <w:spacing w:before="1" w:after="0"/>
      <w:ind w:left="345" w:right="465" w:hanging="0"/>
      <w:jc w:val="center"/>
    </w:pPr>
    <w:rPr>
      <w:sz w:val="36"/>
      <w:szCs w:val="36"/>
      <w:lang w:eastAsia="en-US"/>
    </w:rPr>
  </w:style>
  <w:style w:type="paragraph" w:styleId="TableParagraph">
    <w:name w:val="Table Paragraph"/>
    <w:basedOn w:val="Normal"/>
    <w:qFormat/>
    <w:pPr>
      <w:suppressAutoHyphens w:val="false"/>
    </w:pPr>
    <w:rPr>
      <w:sz w:val="22"/>
      <w:szCs w:val="22"/>
      <w:lang w:eastAsia="en-US"/>
    </w:rPr>
  </w:style>
  <w:style w:type="paragraph" w:styleId="Style29">
    <w:name w:val="Верхний и нижний колонтитулы"/>
    <w:basedOn w:val="Normal"/>
    <w:qFormat/>
    <w:pPr/>
    <w:rPr/>
  </w:style>
  <w:style w:type="paragraph" w:styleId="Style30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2">
    <w:name w:val="Содержимое врезки"/>
    <w:basedOn w:val="Normal"/>
    <w:qFormat/>
    <w:pPr/>
    <w:rPr/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Style33">
    <w:name w:val="Заголовок таблицы"/>
    <w:basedOn w:val="Style27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sz w:val="24"/>
      <w:szCs w:val="24"/>
      <w:lang w:eastAsia="ru-RU"/>
    </w:rPr>
  </w:style>
  <w:style w:type="paragraph" w:styleId="Annotationtext">
    <w:name w:val="annotation text"/>
    <w:basedOn w:val="Normal"/>
    <w:qFormat/>
    <w:pPr/>
    <w:rPr/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RZR&amp;n=536618&amp;dst=655" TargetMode="External"/><Relationship Id="rId4" Type="http://schemas.openxmlformats.org/officeDocument/2006/relationships/hyperlink" Target="https://login.consultant.ru/link/?req=doc&amp;base=RZR&amp;n=536618&amp;dst=655" TargetMode="External"/><Relationship Id="rId5" Type="http://schemas.openxmlformats.org/officeDocument/2006/relationships/hyperlink" Target="https://login.consultant.ru/link/?req=doc&amp;base=RZR&amp;n=473424&amp;dst=100011" TargetMode="External"/><Relationship Id="rId6" Type="http://schemas.openxmlformats.org/officeDocument/2006/relationships/hyperlink" Target="https://login.consultant.ru/link/?req=doc&amp;base=RZR&amp;n=473424&amp;dst=100011" TargetMode="External"/><Relationship Id="rId7" Type="http://schemas.openxmlformats.org/officeDocument/2006/relationships/hyperlink" Target="https://login.consultant.ru/link/?req=doc&amp;base=RZR&amp;n=473424&amp;dst=100011" TargetMode="External"/><Relationship Id="rId8" Type="http://schemas.openxmlformats.org/officeDocument/2006/relationships/hyperlink" Target="https://login.consultant.ru/link/?req=doc&amp;base=RZR&amp;n=473424&amp;dst=100011" TargetMode="External"/><Relationship Id="rId9" Type="http://schemas.openxmlformats.org/officeDocument/2006/relationships/hyperlink" Target="https://login.consultant.ru/link/?req=doc&amp;base=RZR&amp;n=473424&amp;dst=100011" TargetMode="External"/><Relationship Id="rId10" Type="http://schemas.openxmlformats.org/officeDocument/2006/relationships/hyperlink" Target="https://login.consultant.ru/link/?req=doc&amp;base=RZR&amp;n=473424&amp;dst=100011" TargetMode="External"/><Relationship Id="rId11" Type="http://schemas.openxmlformats.org/officeDocument/2006/relationships/hyperlink" Target="https://login.consultant.ru/link/?req=doc&amp;base=RZR&amp;n=473424&amp;dst=100011" TargetMode="External"/><Relationship Id="rId12" Type="http://schemas.openxmlformats.org/officeDocument/2006/relationships/hyperlink" Target="https://login.consultant.ru/link/?req=doc&amp;base=RZR&amp;n=473424&amp;dst=100011" TargetMode="External"/><Relationship Id="rId13" Type="http://schemas.openxmlformats.org/officeDocument/2006/relationships/hyperlink" Target="https://login.consultant.ru/link/?req=doc&amp;base=RZR&amp;n=473424&amp;dst=100011" TargetMode="External"/><Relationship Id="rId14" Type="http://schemas.openxmlformats.org/officeDocument/2006/relationships/hyperlink" Target="https://login.consultant.ru/link/?req=doc&amp;base=RZR&amp;n=473424&amp;dst=100011" TargetMode="External"/><Relationship Id="rId15" Type="http://schemas.openxmlformats.org/officeDocument/2006/relationships/hyperlink" Target="https://login.consultant.ru/link/?req=doc&amp;base=RZR&amp;n=473424&amp;dst=100011" TargetMode="External"/><Relationship Id="rId16" Type="http://schemas.openxmlformats.org/officeDocument/2006/relationships/hyperlink" Target="https://login.consultant.ru/link/?req=doc&amp;base=RZR&amp;n=473424&amp;dst=100011" TargetMode="External"/><Relationship Id="rId17" Type="http://schemas.openxmlformats.org/officeDocument/2006/relationships/hyperlink" Target="https://login.consultant.ru/link/?req=doc&amp;base=RZR&amp;n=473424&amp;dst=100011" TargetMode="External"/><Relationship Id="rId18" Type="http://schemas.openxmlformats.org/officeDocument/2006/relationships/hyperlink" Target="https://login.consultant.ru/link/?req=doc&amp;base=RZR&amp;n=473424&amp;dst=100011" TargetMode="External"/><Relationship Id="rId19" Type="http://schemas.openxmlformats.org/officeDocument/2006/relationships/hyperlink" Target="https://login.consultant.ru/link/?req=doc&amp;base=RZR&amp;n=473424&amp;dst=100011" TargetMode="External"/><Relationship Id="rId20" Type="http://schemas.openxmlformats.org/officeDocument/2006/relationships/hyperlink" Target="https://login.consultant.ru/link/?req=doc&amp;base=RZR&amp;n=473424&amp;dst=100011" TargetMode="External"/><Relationship Id="rId21" Type="http://schemas.openxmlformats.org/officeDocument/2006/relationships/hyperlink" Target="https://login.consultant.ru/link/?req=doc&amp;base=RZR&amp;n=473424&amp;dst=100011" TargetMode="External"/><Relationship Id="rId22" Type="http://schemas.openxmlformats.org/officeDocument/2006/relationships/hyperlink" Target="https://login.consultant.ru/link/?req=doc&amp;base=RZR&amp;n=473424&amp;dst=100011" TargetMode="External"/><Relationship Id="rId23" Type="http://schemas.openxmlformats.org/officeDocument/2006/relationships/hyperlink" Target="https://login.consultant.ru/link/?req=doc&amp;base=RZR&amp;n=473424&amp;dst=100011" TargetMode="External"/><Relationship Id="rId24" Type="http://schemas.openxmlformats.org/officeDocument/2006/relationships/hyperlink" Target="https://login.consultant.ru/link/?req=doc&amp;base=RZR&amp;n=473424&amp;dst=100011" TargetMode="External"/><Relationship Id="rId25" Type="http://schemas.openxmlformats.org/officeDocument/2006/relationships/hyperlink" Target="https://login.consultant.ru/link/?req=doc&amp;base=RZR&amp;n=473424&amp;dst=100011" TargetMode="External"/><Relationship Id="rId26" Type="http://schemas.openxmlformats.org/officeDocument/2006/relationships/hyperlink" Target="https://login.consultant.ru/link/?req=doc&amp;base=RZR&amp;n=473424&amp;dst=100011" TargetMode="External"/><Relationship Id="rId27" Type="http://schemas.openxmlformats.org/officeDocument/2006/relationships/hyperlink" Target="https://login.consultant.ru/link/?req=doc&amp;base=RZR&amp;n=473424&amp;dst=100011" TargetMode="External"/><Relationship Id="rId28" Type="http://schemas.openxmlformats.org/officeDocument/2006/relationships/hyperlink" Target="https://login.consultant.ru/link/?req=doc&amp;base=RZR&amp;n=473424&amp;dst=100011" TargetMode="External"/><Relationship Id="rId29" Type="http://schemas.openxmlformats.org/officeDocument/2006/relationships/hyperlink" Target="https://login.consultant.ru/link/?req=doc&amp;base=RZR&amp;n=473424&amp;dst=100011" TargetMode="External"/><Relationship Id="rId30" Type="http://schemas.openxmlformats.org/officeDocument/2006/relationships/hyperlink" Target="https://login.consultant.ru/link/?req=doc&amp;base=RZR&amp;n=473424&amp;dst=100011" TargetMode="External"/><Relationship Id="rId31" Type="http://schemas.openxmlformats.org/officeDocument/2006/relationships/hyperlink" Target="https://login.consultant.ru/link/?req=doc&amp;base=RZR&amp;n=473424&amp;dst=100011" TargetMode="External"/><Relationship Id="rId32" Type="http://schemas.openxmlformats.org/officeDocument/2006/relationships/hyperlink" Target="https://login.consultant.ru/link/?req=doc&amp;base=RZR&amp;n=473424&amp;dst=100011" TargetMode="Externa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1969</TotalTime>
  <Application>LibreOffice/7.0.3.1$Linux_X86_64 LibreOffice_project/00$Build-1</Application>
  <Pages>21</Pages>
  <Words>3765</Words>
  <Characters>29926</Characters>
  <CharactersWithSpaces>33641</CharactersWithSpaces>
  <Paragraphs>217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2026-09-03T17:18:00Z</dcterms:created>
  <dc:creator>Federal1</dc:creator>
  <dc:description/>
  <dc:language>ru-RU</dc:language>
  <cp:lastModifiedBy/>
  <cp:lastPrinted>2026-08-12T16:52:49Z</cp:lastPrinted>
  <dcterms:modified xsi:type="dcterms:W3CDTF">2026-09-22T12:20:46Z</dcterms:modified>
  <cp:revision>208</cp:revision>
  <dc:subject/>
  <dc:title>Приказ Минкультуры России от 13.08.2025 N 1455"Об установлении Порядка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Федерации"(Зарегистрировано в Минюс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4026.00.34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