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D20671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D20671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D20671" w:rsidRPr="005974B5" w:rsidRDefault="00D20671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D20671" w:rsidRDefault="00006A12" w:rsidP="00D20671">
      <w:pPr>
        <w:jc w:val="center"/>
        <w:rPr>
          <w:sz w:val="28"/>
          <w:szCs w:val="28"/>
        </w:rPr>
      </w:pPr>
      <w:proofErr w:type="gramStart"/>
      <w:r w:rsidRPr="00D20671">
        <w:rPr>
          <w:sz w:val="28"/>
          <w:szCs w:val="28"/>
        </w:rPr>
        <w:t xml:space="preserve">О включении выявленного объекта культурного наследия </w:t>
      </w:r>
      <w:r w:rsidR="00D20671" w:rsidRPr="00D20671">
        <w:rPr>
          <w:rFonts w:eastAsia="Calibri"/>
          <w:sz w:val="28"/>
          <w:szCs w:val="28"/>
        </w:rPr>
        <w:t>«Писцовская ткацкая фабрика, где в 1905-1908 гг. вел революционную работу делегат Д.Д</w:t>
      </w:r>
      <w:r w:rsidR="00D20671">
        <w:rPr>
          <w:rFonts w:eastAsia="Calibri"/>
          <w:sz w:val="28"/>
          <w:szCs w:val="28"/>
        </w:rPr>
        <w:t>. </w:t>
      </w:r>
      <w:r w:rsidR="00D20671" w:rsidRPr="00D20671">
        <w:rPr>
          <w:rFonts w:eastAsia="Calibri"/>
          <w:sz w:val="28"/>
          <w:szCs w:val="28"/>
        </w:rPr>
        <w:t>Скороходов 5 съезда РСДРП»</w:t>
      </w:r>
      <w:r w:rsidR="00157DC3" w:rsidRPr="00D20671">
        <w:rPr>
          <w:sz w:val="28"/>
          <w:szCs w:val="28"/>
        </w:rPr>
        <w:t xml:space="preserve"> (Ивановская область, </w:t>
      </w:r>
      <w:r w:rsidR="00D20671" w:rsidRPr="00D20671">
        <w:rPr>
          <w:rFonts w:eastAsia="Calibri"/>
          <w:sz w:val="28"/>
          <w:szCs w:val="28"/>
        </w:rPr>
        <w:t>Комсомольский район, с. Писцово, Писцовская фабрика, 1</w:t>
      </w:r>
      <w:r w:rsidR="00157DC3" w:rsidRPr="00D20671">
        <w:rPr>
          <w:sz w:val="28"/>
          <w:szCs w:val="28"/>
        </w:rPr>
        <w:t>)</w:t>
      </w:r>
      <w:r w:rsidRPr="00D20671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D20671">
        <w:rPr>
          <w:sz w:val="28"/>
          <w:szCs w:val="28"/>
        </w:rPr>
        <w:t>местного (муниципального)</w:t>
      </w:r>
      <w:r w:rsidRPr="00D20671">
        <w:rPr>
          <w:sz w:val="28"/>
          <w:szCs w:val="28"/>
        </w:rPr>
        <w:t xml:space="preserve"> значения </w:t>
      </w:r>
      <w:r w:rsidR="00D20671" w:rsidRPr="00D20671">
        <w:rPr>
          <w:rFonts w:eastAsia="Calibri"/>
          <w:sz w:val="28"/>
          <w:szCs w:val="28"/>
        </w:rPr>
        <w:t xml:space="preserve">«Архитектурный комплекс </w:t>
      </w:r>
      <w:proofErr w:type="spellStart"/>
      <w:r w:rsidR="00D20671" w:rsidRPr="00D20671">
        <w:rPr>
          <w:rFonts w:eastAsia="Calibri"/>
          <w:sz w:val="28"/>
          <w:szCs w:val="28"/>
        </w:rPr>
        <w:t>Писцовской</w:t>
      </w:r>
      <w:proofErr w:type="spellEnd"/>
      <w:r w:rsidR="00D20671" w:rsidRPr="00D20671">
        <w:rPr>
          <w:rFonts w:eastAsia="Calibri"/>
          <w:sz w:val="28"/>
          <w:szCs w:val="28"/>
        </w:rPr>
        <w:t xml:space="preserve"> ткацкой фабрики»</w:t>
      </w:r>
      <w:r w:rsidR="0023745A" w:rsidRPr="00D20671">
        <w:rPr>
          <w:rFonts w:eastAsia="Calibri"/>
          <w:sz w:val="28"/>
          <w:szCs w:val="28"/>
        </w:rPr>
        <w:t xml:space="preserve">, </w:t>
      </w:r>
      <w:r w:rsidR="00D20671" w:rsidRPr="00D20671">
        <w:rPr>
          <w:rFonts w:eastAsia="Calibri"/>
          <w:sz w:val="28"/>
          <w:szCs w:val="28"/>
        </w:rPr>
        <w:t>кон</w:t>
      </w:r>
      <w:proofErr w:type="gramEnd"/>
      <w:r w:rsidR="00D20671" w:rsidRPr="00D20671">
        <w:rPr>
          <w:rFonts w:eastAsia="Calibri"/>
          <w:sz w:val="28"/>
          <w:szCs w:val="28"/>
        </w:rPr>
        <w:t>. XIX – нач. XX вв.</w:t>
      </w:r>
      <w:r w:rsidR="0023745A" w:rsidRPr="00D20671">
        <w:rPr>
          <w:rFonts w:eastAsia="Calibri"/>
          <w:sz w:val="28"/>
          <w:szCs w:val="28"/>
        </w:rPr>
        <w:t xml:space="preserve"> (Ивановская область, </w:t>
      </w:r>
      <w:r w:rsidR="00D20671" w:rsidRPr="00D20671">
        <w:rPr>
          <w:rFonts w:eastAsia="Calibri"/>
          <w:sz w:val="28"/>
          <w:szCs w:val="28"/>
        </w:rPr>
        <w:t>Комсомоль</w:t>
      </w:r>
      <w:r w:rsidR="00D20671">
        <w:rPr>
          <w:rFonts w:eastAsia="Calibri"/>
          <w:sz w:val="28"/>
          <w:szCs w:val="28"/>
        </w:rPr>
        <w:t>ский район, с. </w:t>
      </w:r>
      <w:r w:rsidR="00D20671" w:rsidRPr="00D20671">
        <w:rPr>
          <w:rFonts w:eastAsia="Calibri"/>
          <w:sz w:val="28"/>
          <w:szCs w:val="28"/>
        </w:rPr>
        <w:t>Писцово, Социалистическая ул., 1</w:t>
      </w:r>
      <w:r w:rsidR="0023745A" w:rsidRPr="00D20671">
        <w:rPr>
          <w:rFonts w:eastAsia="Calibri"/>
          <w:sz w:val="28"/>
          <w:szCs w:val="28"/>
        </w:rPr>
        <w:t>)</w:t>
      </w:r>
    </w:p>
    <w:p w:rsidR="00006A12" w:rsidRPr="0023745A" w:rsidRDefault="00006A12" w:rsidP="0023745A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D20671" w:rsidRPr="00D20671">
        <w:rPr>
          <w:rFonts w:eastAsia="Calibri"/>
          <w:sz w:val="28"/>
          <w:szCs w:val="28"/>
        </w:rPr>
        <w:t>«Писцовская ткацкая фабрика, где в 1905-1908 гг. вел революционную работу делегат Д.Д</w:t>
      </w:r>
      <w:r w:rsidR="00D20671">
        <w:rPr>
          <w:rFonts w:eastAsia="Calibri"/>
          <w:sz w:val="28"/>
          <w:szCs w:val="28"/>
        </w:rPr>
        <w:t>. </w:t>
      </w:r>
      <w:r w:rsidR="00D20671" w:rsidRPr="00D20671">
        <w:rPr>
          <w:rFonts w:eastAsia="Calibri"/>
          <w:sz w:val="28"/>
          <w:szCs w:val="28"/>
        </w:rPr>
        <w:t>Скороходов 5 съезда РСДРП»</w:t>
      </w:r>
      <w:r w:rsidR="00D20671" w:rsidRPr="00D20671">
        <w:rPr>
          <w:sz w:val="28"/>
          <w:szCs w:val="28"/>
        </w:rPr>
        <w:t xml:space="preserve"> (Ивановская область, </w:t>
      </w:r>
      <w:r w:rsidR="00D20671" w:rsidRPr="00D20671">
        <w:rPr>
          <w:rFonts w:eastAsia="Calibri"/>
          <w:sz w:val="28"/>
          <w:szCs w:val="28"/>
        </w:rPr>
        <w:t>Комсомольский район, с. Писцово, Писцовская фабрика, 1</w:t>
      </w:r>
      <w:r w:rsidR="00D20671" w:rsidRPr="00D20671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D20671" w:rsidRPr="00D20671">
        <w:rPr>
          <w:rFonts w:eastAsia="Calibri"/>
          <w:sz w:val="28"/>
          <w:szCs w:val="28"/>
        </w:rPr>
        <w:t xml:space="preserve">«Архитектурный комплекс </w:t>
      </w:r>
      <w:proofErr w:type="spellStart"/>
      <w:r w:rsidR="00D20671" w:rsidRPr="00D20671">
        <w:rPr>
          <w:rFonts w:eastAsia="Calibri"/>
          <w:sz w:val="28"/>
          <w:szCs w:val="28"/>
        </w:rPr>
        <w:t>Писцовской</w:t>
      </w:r>
      <w:proofErr w:type="spellEnd"/>
      <w:r w:rsidR="00D20671" w:rsidRPr="00D20671">
        <w:rPr>
          <w:rFonts w:eastAsia="Calibri"/>
          <w:sz w:val="28"/>
          <w:szCs w:val="28"/>
        </w:rPr>
        <w:t xml:space="preserve"> ткацкой фабрики», кон.</w:t>
      </w:r>
      <w:proofErr w:type="gramEnd"/>
      <w:r w:rsidR="00D20671" w:rsidRPr="00D20671">
        <w:rPr>
          <w:rFonts w:eastAsia="Calibri"/>
          <w:sz w:val="28"/>
          <w:szCs w:val="28"/>
        </w:rPr>
        <w:t xml:space="preserve"> XIX – нач. </w:t>
      </w:r>
      <w:proofErr w:type="gramStart"/>
      <w:r w:rsidR="00D20671" w:rsidRPr="00D20671">
        <w:rPr>
          <w:rFonts w:eastAsia="Calibri"/>
          <w:sz w:val="28"/>
          <w:szCs w:val="28"/>
        </w:rPr>
        <w:t>XX вв. (Ивановская область, Комсомоль</w:t>
      </w:r>
      <w:r w:rsidR="00D20671">
        <w:rPr>
          <w:rFonts w:eastAsia="Calibri"/>
          <w:sz w:val="28"/>
          <w:szCs w:val="28"/>
        </w:rPr>
        <w:t>ский район, с. </w:t>
      </w:r>
      <w:r w:rsidR="00D20671" w:rsidRPr="00D20671">
        <w:rPr>
          <w:rFonts w:eastAsia="Calibri"/>
          <w:sz w:val="28"/>
          <w:szCs w:val="28"/>
        </w:rPr>
        <w:t>Писцово, Социалистическая ул., 1)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D20671" w:rsidRPr="00D20671">
        <w:rPr>
          <w:rFonts w:eastAsia="Calibri"/>
          <w:sz w:val="28"/>
          <w:szCs w:val="28"/>
        </w:rPr>
        <w:t xml:space="preserve">«Архитектурный комплекс </w:t>
      </w:r>
      <w:proofErr w:type="spellStart"/>
      <w:r w:rsidR="00D20671" w:rsidRPr="00D20671">
        <w:rPr>
          <w:rFonts w:eastAsia="Calibri"/>
          <w:sz w:val="28"/>
          <w:szCs w:val="28"/>
        </w:rPr>
        <w:t>Писцовской</w:t>
      </w:r>
      <w:proofErr w:type="spellEnd"/>
      <w:r w:rsidR="00D20671" w:rsidRPr="00D20671">
        <w:rPr>
          <w:rFonts w:eastAsia="Calibri"/>
          <w:sz w:val="28"/>
          <w:szCs w:val="28"/>
        </w:rPr>
        <w:t xml:space="preserve"> ткацкой фабрики», кон. XIX – нач. XX вв. (Ивановская область, Комсомоль</w:t>
      </w:r>
      <w:r w:rsidR="00D20671">
        <w:rPr>
          <w:rFonts w:eastAsia="Calibri"/>
          <w:sz w:val="28"/>
          <w:szCs w:val="28"/>
        </w:rPr>
        <w:t>ский район, с. </w:t>
      </w:r>
      <w:r w:rsidR="00D20671" w:rsidRPr="00D20671">
        <w:rPr>
          <w:rFonts w:eastAsia="Calibri"/>
          <w:sz w:val="28"/>
          <w:szCs w:val="28"/>
        </w:rPr>
        <w:t>Писцово, Социалистическая ул., 1)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0A19FD" w:rsidRDefault="00157DC3" w:rsidP="000A19F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D20671" w:rsidRPr="00D20671">
        <w:rPr>
          <w:rFonts w:eastAsia="Calibri"/>
          <w:sz w:val="28"/>
          <w:szCs w:val="28"/>
        </w:rPr>
        <w:t xml:space="preserve">«Архитектурный комплекс </w:t>
      </w:r>
      <w:proofErr w:type="spellStart"/>
      <w:r w:rsidR="00D20671" w:rsidRPr="00D20671">
        <w:rPr>
          <w:rFonts w:eastAsia="Calibri"/>
          <w:sz w:val="28"/>
          <w:szCs w:val="28"/>
        </w:rPr>
        <w:t>Писцовской</w:t>
      </w:r>
      <w:proofErr w:type="spellEnd"/>
      <w:r w:rsidR="00D20671" w:rsidRPr="00D20671">
        <w:rPr>
          <w:rFonts w:eastAsia="Calibri"/>
          <w:sz w:val="28"/>
          <w:szCs w:val="28"/>
        </w:rPr>
        <w:t xml:space="preserve"> ткацкой фабрики», кон. XIX – нач. XX вв. (Ивановская область, Комсомоль</w:t>
      </w:r>
      <w:r w:rsidR="00D20671">
        <w:rPr>
          <w:rFonts w:eastAsia="Calibri"/>
          <w:sz w:val="28"/>
          <w:szCs w:val="28"/>
        </w:rPr>
        <w:t>ский район, с. </w:t>
      </w:r>
      <w:r w:rsidR="00D20671" w:rsidRPr="00D20671">
        <w:rPr>
          <w:rFonts w:eastAsia="Calibri"/>
          <w:sz w:val="28"/>
          <w:szCs w:val="28"/>
        </w:rPr>
        <w:t>Писцово, Социалистическая ул., 1)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80506F" w:rsidRDefault="00D20671" w:rsidP="001A060C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0.35pt;height:583.55pt">
            <v:imagedata r:id="rId9" o:title="1"/>
          </v:shape>
        </w:pict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D20671" w:rsidRPr="00D20671">
        <w:rPr>
          <w:rFonts w:eastAsia="Calibri"/>
          <w:sz w:val="28"/>
          <w:szCs w:val="28"/>
        </w:rPr>
        <w:t xml:space="preserve">«Архитектурный комплекс </w:t>
      </w:r>
      <w:proofErr w:type="spellStart"/>
      <w:r w:rsidR="00D20671" w:rsidRPr="00D20671">
        <w:rPr>
          <w:rFonts w:eastAsia="Calibri"/>
          <w:sz w:val="28"/>
          <w:szCs w:val="28"/>
        </w:rPr>
        <w:t>Писцовской</w:t>
      </w:r>
      <w:proofErr w:type="spellEnd"/>
      <w:r w:rsidR="00D20671" w:rsidRPr="00D20671">
        <w:rPr>
          <w:rFonts w:eastAsia="Calibri"/>
          <w:sz w:val="28"/>
          <w:szCs w:val="28"/>
        </w:rPr>
        <w:t xml:space="preserve"> ткацкой фабрики», кон. XIX – нач. XX вв. (Ивановская область, Комсомоль</w:t>
      </w:r>
      <w:r w:rsidR="00D20671">
        <w:rPr>
          <w:rFonts w:eastAsia="Calibri"/>
          <w:sz w:val="28"/>
          <w:szCs w:val="28"/>
        </w:rPr>
        <w:t>ский район, с. </w:t>
      </w:r>
      <w:r w:rsidR="00D20671" w:rsidRPr="00D20671">
        <w:rPr>
          <w:rFonts w:eastAsia="Calibri"/>
          <w:sz w:val="28"/>
          <w:szCs w:val="28"/>
        </w:rPr>
        <w:t>Писцово, Социалистическая ул., 1)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326344.14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2187869.17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326505.22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2187884.69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326529.43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2188030.73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326504.20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2188072.57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326495.12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2188100.37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326505.60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2188125.20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326434.72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2188151.32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326392.23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2188170.37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326372.21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2188182.14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326359.75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2188189.55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326340.58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2188200.97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326328.92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2188168.50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326319.44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2188149.22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326296.63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2188096.79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326288.70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2188077.88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Default="00D20671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326283.63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2188062.68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Default="00D20671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326284.32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2188034.01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Default="00D20671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326288.70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2187991.63</w:t>
            </w:r>
          </w:p>
        </w:tc>
      </w:tr>
      <w:tr w:rsidR="00D20671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Default="00D20671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326313.65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71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2187910.08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D20671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326344.14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665BC7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2187869.17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65BC7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20671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E451-E6E8-4BB2-97A7-926B1BA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11</cp:revision>
  <cp:lastPrinted>2026-01-22T12:49:00Z</cp:lastPrinted>
  <dcterms:created xsi:type="dcterms:W3CDTF">2025-10-07T07:37:00Z</dcterms:created>
  <dcterms:modified xsi:type="dcterms:W3CDTF">2026-01-22T13:23:00Z</dcterms:modified>
</cp:coreProperties>
</file>