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от </w:t>
      </w:r>
      <w:r w:rsidR="00E2413E">
        <w:rPr>
          <w:sz w:val="28"/>
          <w:szCs w:val="28"/>
        </w:rPr>
        <w:t>22</w:t>
      </w:r>
      <w:r w:rsidR="00003054" w:rsidRPr="00003054">
        <w:rPr>
          <w:sz w:val="28"/>
          <w:szCs w:val="28"/>
        </w:rPr>
        <w:t>.0</w:t>
      </w:r>
      <w:r w:rsidR="00E2413E">
        <w:rPr>
          <w:sz w:val="28"/>
          <w:szCs w:val="28"/>
        </w:rPr>
        <w:t>9</w:t>
      </w:r>
      <w:r w:rsidR="00003054" w:rsidRPr="00003054">
        <w:rPr>
          <w:sz w:val="28"/>
          <w:szCs w:val="28"/>
        </w:rPr>
        <w:t xml:space="preserve">.2017 № </w:t>
      </w:r>
      <w:r w:rsidR="00E2413E">
        <w:rPr>
          <w:sz w:val="28"/>
          <w:szCs w:val="28"/>
        </w:rPr>
        <w:t>111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E2413E" w:rsidRPr="00E2413E">
        <w:rPr>
          <w:sz w:val="28"/>
          <w:szCs w:val="28"/>
        </w:rPr>
        <w:t>О включении выявленного объекта культурного наследия «Здание бывшей фабрики Захарова, на которой в 1870 г. произошла стачка рабочих. Здесь же 25 ноября 1919 г. состоялось первое комсомольское собрание» (Ивановская область, г. Тейково, Октябрьская ул., 54)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«Общественное собрание служащих» (Ивановская область, г. Тейково, Октябрьская ул., 54)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741813">
        <w:rPr>
          <w:sz w:val="28"/>
          <w:szCs w:val="28"/>
        </w:rPr>
        <w:t xml:space="preserve">от </w:t>
      </w:r>
      <w:r w:rsidR="00E2413E">
        <w:rPr>
          <w:sz w:val="28"/>
          <w:szCs w:val="28"/>
        </w:rPr>
        <w:t>22</w:t>
      </w:r>
      <w:r w:rsidR="00741813" w:rsidRPr="00003054">
        <w:rPr>
          <w:sz w:val="28"/>
          <w:szCs w:val="28"/>
        </w:rPr>
        <w:t>.0</w:t>
      </w:r>
      <w:r w:rsidR="00E2413E">
        <w:rPr>
          <w:sz w:val="28"/>
          <w:szCs w:val="28"/>
        </w:rPr>
        <w:t>9</w:t>
      </w:r>
      <w:r w:rsidR="00741813" w:rsidRPr="00003054">
        <w:rPr>
          <w:sz w:val="28"/>
          <w:szCs w:val="28"/>
        </w:rPr>
        <w:t xml:space="preserve">.2017 № </w:t>
      </w:r>
      <w:r w:rsidR="00E2413E">
        <w:rPr>
          <w:sz w:val="28"/>
          <w:szCs w:val="28"/>
        </w:rPr>
        <w:t>111-</w:t>
      </w:r>
      <w:r w:rsidR="00741813" w:rsidRPr="00003054">
        <w:rPr>
          <w:sz w:val="28"/>
          <w:szCs w:val="28"/>
        </w:rPr>
        <w:t>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E2413E" w:rsidRPr="00E2413E">
        <w:rPr>
          <w:sz w:val="28"/>
          <w:szCs w:val="28"/>
        </w:rPr>
        <w:t xml:space="preserve">О включении выявленного объекта культурного наследия «Здание бывшей фабрики Захарова, на которой в 1870 г. произошла стачка рабочих. </w:t>
      </w:r>
      <w:proofErr w:type="gramStart"/>
      <w:r w:rsidR="00E2413E" w:rsidRPr="00E2413E">
        <w:rPr>
          <w:sz w:val="28"/>
          <w:szCs w:val="28"/>
        </w:rPr>
        <w:t xml:space="preserve">Здесь же 25 ноября 1919 г. состоялось первое комсомольское собрание» (Ивановская область, г. Тейково, Октябрьская ул., 54) в единый государственный реестр объектов культурного </w:t>
      </w:r>
      <w:r w:rsidR="00E2413E" w:rsidRPr="00E2413E">
        <w:rPr>
          <w:sz w:val="28"/>
          <w:szCs w:val="28"/>
        </w:rPr>
        <w:lastRenderedPageBreak/>
        <w:t>наследия (памятников истории и культуры) народов Российской Федерации в качестве объекта культурного наследия местного (муниципального) значения «Общественное собрание служащих» (Ивановская область, г. Тейково, Октябрьская ул., 54)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03054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0030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</w:t>
      </w:r>
      <w:r w:rsidR="00C57932">
        <w:rPr>
          <w:sz w:val="28"/>
          <w:szCs w:val="28"/>
        </w:rPr>
        <w:t xml:space="preserve">в </w:t>
      </w:r>
      <w:r w:rsidR="00003054">
        <w:rPr>
          <w:sz w:val="28"/>
          <w:szCs w:val="28"/>
        </w:rPr>
        <w:t>пунктах 1, 2 приказа</w:t>
      </w:r>
      <w:r w:rsidR="00C57932">
        <w:rPr>
          <w:sz w:val="28"/>
          <w:szCs w:val="28"/>
        </w:rPr>
        <w:t>, в наименованиях разделов приложения к приказу</w:t>
      </w:r>
      <w:r w:rsidR="00003054">
        <w:rPr>
          <w:sz w:val="28"/>
          <w:szCs w:val="28"/>
        </w:rPr>
        <w:t xml:space="preserve"> слова </w:t>
      </w:r>
      <w:r w:rsidR="00E2413E" w:rsidRPr="00E2413E">
        <w:rPr>
          <w:sz w:val="28"/>
          <w:szCs w:val="28"/>
        </w:rPr>
        <w:t>«Общественное собрание служащих» (Ивановская область, г. Тейково, Октябрьская ул., 54)</w:t>
      </w:r>
      <w:r w:rsidR="00E2413E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заменить словами </w:t>
      </w:r>
      <w:r w:rsidR="00741813" w:rsidRPr="00741813">
        <w:rPr>
          <w:rFonts w:eastAsia="Calibri"/>
          <w:bCs/>
          <w:sz w:val="28"/>
          <w:szCs w:val="28"/>
          <w:lang w:eastAsia="ru-RU"/>
        </w:rPr>
        <w:t>«</w:t>
      </w:r>
      <w:r w:rsidR="00E2413E" w:rsidRPr="00E2413E">
        <w:rPr>
          <w:sz w:val="28"/>
          <w:szCs w:val="28"/>
        </w:rPr>
        <w:t>Общественное собрание служащих»</w:t>
      </w:r>
      <w:r w:rsidR="00E2413E">
        <w:rPr>
          <w:sz w:val="28"/>
          <w:szCs w:val="28"/>
        </w:rPr>
        <w:t xml:space="preserve">, </w:t>
      </w:r>
      <w:r w:rsidR="00E2413E">
        <w:rPr>
          <w:bCs/>
          <w:sz w:val="28"/>
          <w:szCs w:val="28"/>
        </w:rPr>
        <w:t>середина XIX в. – первая треть ХХ в.</w:t>
      </w:r>
      <w:r w:rsidR="00E2413E" w:rsidRPr="00E2413E">
        <w:rPr>
          <w:sz w:val="28"/>
          <w:szCs w:val="28"/>
        </w:rPr>
        <w:t xml:space="preserve"> (Ивановская область, г. Тейково, Октябрьская ул., 54)</w:t>
      </w:r>
      <w:r w:rsidR="00C57932">
        <w:rPr>
          <w:sz w:val="28"/>
          <w:szCs w:val="28"/>
        </w:rPr>
        <w:t>»;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2</w:t>
      </w:r>
      <w:r w:rsidR="00863A39">
        <w:rPr>
          <w:sz w:val="28"/>
          <w:szCs w:val="28"/>
        </w:rPr>
        <w:t>. Пункт 3 приказа признать утратившим силу.</w:t>
      </w:r>
    </w:p>
    <w:p w:rsidR="00863A39" w:rsidRDefault="000B67F5" w:rsidP="00C5793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C57932" w:rsidRPr="00166AD2">
        <w:rPr>
          <w:sz w:val="28"/>
          <w:szCs w:val="28"/>
        </w:rPr>
        <w:t xml:space="preserve">характерных (поворотных) точек </w:t>
      </w:r>
      <w:r w:rsidR="00C57932" w:rsidRPr="006451A3">
        <w:rPr>
          <w:sz w:val="28"/>
          <w:szCs w:val="28"/>
        </w:rPr>
        <w:t>границ</w:t>
      </w:r>
      <w:r w:rsidR="00C57932">
        <w:rPr>
          <w:sz w:val="28"/>
          <w:szCs w:val="28"/>
        </w:rPr>
        <w:t>ы</w:t>
      </w:r>
      <w:r w:rsidR="00C57932" w:rsidRPr="006451A3">
        <w:rPr>
          <w:sz w:val="28"/>
          <w:szCs w:val="28"/>
        </w:rPr>
        <w:t xml:space="preserve"> территории</w:t>
      </w:r>
      <w:r w:rsidR="00C57932">
        <w:rPr>
          <w:sz w:val="28"/>
          <w:szCs w:val="28"/>
        </w:rPr>
        <w:t xml:space="preserve"> </w:t>
      </w:r>
      <w:r w:rsidR="00741813">
        <w:rPr>
          <w:sz w:val="28"/>
          <w:szCs w:val="28"/>
        </w:rPr>
        <w:t>объекта культурного наследия</w:t>
      </w:r>
      <w:r w:rsidR="00741813" w:rsidRPr="006A3820">
        <w:rPr>
          <w:sz w:val="28"/>
          <w:szCs w:val="28"/>
        </w:rPr>
        <w:t xml:space="preserve"> местного (муниципального) значения </w:t>
      </w:r>
      <w:r w:rsidR="00E2413E" w:rsidRPr="00182AF9">
        <w:rPr>
          <w:sz w:val="28"/>
          <w:szCs w:val="28"/>
        </w:rPr>
        <w:t>«Общественное собрание служащих» (Ивановская область, г. Тейково, Октябрьская ул., 54)</w:t>
      </w:r>
      <w:r w:rsidR="00E2413E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501613" w:rsidP="00B30ED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E2413E" w:rsidRPr="00741813">
        <w:rPr>
          <w:rFonts w:eastAsia="Calibri"/>
          <w:bCs/>
          <w:sz w:val="28"/>
          <w:szCs w:val="28"/>
          <w:lang w:eastAsia="ru-RU"/>
        </w:rPr>
        <w:t>«</w:t>
      </w:r>
      <w:r w:rsidR="00E2413E" w:rsidRPr="00E2413E">
        <w:rPr>
          <w:sz w:val="28"/>
          <w:szCs w:val="28"/>
        </w:rPr>
        <w:t>Общественное собрание служащих»</w:t>
      </w:r>
      <w:r w:rsidR="00E2413E">
        <w:rPr>
          <w:sz w:val="28"/>
          <w:szCs w:val="28"/>
        </w:rPr>
        <w:t xml:space="preserve">, </w:t>
      </w:r>
      <w:r w:rsidR="00E2413E">
        <w:rPr>
          <w:bCs/>
          <w:sz w:val="28"/>
          <w:szCs w:val="28"/>
        </w:rPr>
        <w:t>середина XIX в. – первая треть ХХ в.</w:t>
      </w:r>
      <w:r w:rsidR="00E2413E" w:rsidRPr="00E2413E">
        <w:rPr>
          <w:sz w:val="28"/>
          <w:szCs w:val="28"/>
        </w:rPr>
        <w:t xml:space="preserve"> (Ивановская область, г. Тейково, Октябрьская ул., 54)</w:t>
      </w:r>
      <w:proofErr w:type="gramEnd"/>
    </w:p>
    <w:p w:rsidR="00EA6E5F" w:rsidRPr="00A22C3C" w:rsidRDefault="00EA6E5F" w:rsidP="00B30EDE">
      <w:pPr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E2413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065E8D" w:rsidRDefault="00E2413E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2188999.01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289356.21</w:t>
            </w:r>
          </w:p>
        </w:tc>
      </w:tr>
      <w:tr w:rsidR="00E2413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Default="00E2413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2189035.25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289345.14</w:t>
            </w:r>
          </w:p>
        </w:tc>
      </w:tr>
      <w:tr w:rsidR="00E2413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Default="00E2413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2189050.25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289408.33</w:t>
            </w:r>
          </w:p>
        </w:tc>
      </w:tr>
      <w:tr w:rsidR="00E2413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Default="00E2413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2189016.22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289415.70</w:t>
            </w:r>
          </w:p>
        </w:tc>
      </w:tr>
      <w:tr w:rsidR="00E2413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Default="00E2413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2188999.01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13E" w:rsidRPr="00E2413E" w:rsidRDefault="00E2413E" w:rsidP="00E2413E">
            <w:pPr>
              <w:jc w:val="center"/>
              <w:rPr>
                <w:sz w:val="28"/>
                <w:szCs w:val="28"/>
              </w:rPr>
            </w:pPr>
            <w:r w:rsidRPr="00E2413E">
              <w:rPr>
                <w:sz w:val="28"/>
                <w:szCs w:val="28"/>
              </w:rPr>
              <w:t>289356.21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77" w:rsidRDefault="00EA3677" w:rsidP="00E85028">
      <w:r>
        <w:separator/>
      </w:r>
    </w:p>
  </w:endnote>
  <w:endnote w:type="continuationSeparator" w:id="0">
    <w:p w:rsidR="00EA3677" w:rsidRDefault="00EA3677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77" w:rsidRDefault="00EA3677" w:rsidP="00E85028">
      <w:r>
        <w:separator/>
      </w:r>
    </w:p>
  </w:footnote>
  <w:footnote w:type="continuationSeparator" w:id="0">
    <w:p w:rsidR="00EA3677" w:rsidRDefault="00EA3677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499A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E3E7C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813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072DF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2413E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3677"/>
    <w:rsid w:val="00EA67A2"/>
    <w:rsid w:val="00EA6E5F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E472-4FF8-449F-A2EE-DCA95BC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18</cp:revision>
  <cp:lastPrinted>2023-12-19T08:19:00Z</cp:lastPrinted>
  <dcterms:created xsi:type="dcterms:W3CDTF">2023-08-18T08:53:00Z</dcterms:created>
  <dcterms:modified xsi:type="dcterms:W3CDTF">2023-12-19T08:20:00Z</dcterms:modified>
</cp:coreProperties>
</file>