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AE5D46">
                              <w:rPr>
                                <w:rFonts w:ascii="Tinos" w:eastAsia="Calibri" w:hAnsi="Tinos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F2178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F2178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3F217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3F2178" w:rsidRDefault="00631E2C" w:rsidP="003F2178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A07A19" w:rsidRPr="00A07A19">
        <w:rPr>
          <w:sz w:val="28"/>
          <w:szCs w:val="28"/>
        </w:rPr>
        <w:t xml:space="preserve">от </w:t>
      </w:r>
      <w:r w:rsidR="001D3CF5">
        <w:rPr>
          <w:sz w:val="28"/>
          <w:szCs w:val="28"/>
        </w:rPr>
        <w:t>01</w:t>
      </w:r>
      <w:r w:rsidR="00A07A19" w:rsidRPr="00A07A19">
        <w:rPr>
          <w:sz w:val="28"/>
          <w:szCs w:val="28"/>
        </w:rPr>
        <w:t>.</w:t>
      </w:r>
      <w:r w:rsidR="001D3CF5">
        <w:rPr>
          <w:sz w:val="28"/>
          <w:szCs w:val="28"/>
        </w:rPr>
        <w:t>1</w:t>
      </w:r>
      <w:r w:rsidR="00A07A19" w:rsidRPr="00A07A19">
        <w:rPr>
          <w:sz w:val="28"/>
          <w:szCs w:val="28"/>
        </w:rPr>
        <w:t>2.20</w:t>
      </w:r>
      <w:r w:rsidR="001D3CF5">
        <w:rPr>
          <w:sz w:val="28"/>
          <w:szCs w:val="28"/>
        </w:rPr>
        <w:t>17</w:t>
      </w:r>
      <w:r w:rsidR="00772956" w:rsidRPr="00772956">
        <w:rPr>
          <w:sz w:val="28"/>
          <w:szCs w:val="28"/>
        </w:rPr>
        <w:t xml:space="preserve"> № </w:t>
      </w:r>
      <w:r w:rsidR="001D3CF5">
        <w:rPr>
          <w:sz w:val="28"/>
          <w:szCs w:val="28"/>
        </w:rPr>
        <w:t>128</w:t>
      </w:r>
      <w:r w:rsidR="00772956" w:rsidRPr="00772956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D433B7">
        <w:rPr>
          <w:sz w:val="28"/>
          <w:szCs w:val="28"/>
        </w:rPr>
        <w:t>«</w:t>
      </w:r>
      <w:r w:rsidR="001D3CF5" w:rsidRPr="00F30D55">
        <w:rPr>
          <w:sz w:val="28"/>
          <w:szCs w:val="28"/>
        </w:rPr>
        <w:t>О включении выявленного объекта культурного наследия «</w:t>
      </w:r>
      <w:r w:rsidR="001D3CF5" w:rsidRPr="00F30D5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Исторический центр </w:t>
      </w:r>
      <w:proofErr w:type="spellStart"/>
      <w:r w:rsidR="001D3CF5" w:rsidRPr="00F30D55">
        <w:rPr>
          <w:rFonts w:eastAsia="Lucida Sans Unicode"/>
          <w:color w:val="000000"/>
          <w:spacing w:val="2"/>
          <w:sz w:val="28"/>
          <w:szCs w:val="28"/>
          <w:lang w:bidi="en-US"/>
        </w:rPr>
        <w:t>р.п</w:t>
      </w:r>
      <w:proofErr w:type="spellEnd"/>
      <w:r w:rsidR="001D3CF5" w:rsidRPr="00F30D5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. </w:t>
      </w:r>
      <w:proofErr w:type="gramStart"/>
      <w:r w:rsidR="001D3CF5" w:rsidRPr="00F30D55">
        <w:rPr>
          <w:rFonts w:eastAsia="Lucida Sans Unicode"/>
          <w:color w:val="000000"/>
          <w:spacing w:val="2"/>
          <w:sz w:val="28"/>
          <w:szCs w:val="28"/>
          <w:lang w:bidi="en-US"/>
        </w:rPr>
        <w:t>Палех</w:t>
      </w:r>
      <w:r w:rsidR="001D3CF5" w:rsidRPr="00F30D55">
        <w:rPr>
          <w:sz w:val="28"/>
          <w:szCs w:val="28"/>
        </w:rPr>
        <w:t>»</w:t>
      </w:r>
      <w:r w:rsidR="001D3CF5" w:rsidRPr="00F30D5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(Ивановская область, п. Палех, центр)</w:t>
      </w:r>
      <w:r w:rsidR="001D3CF5" w:rsidRPr="00F30D55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«Исторический центр поселка Палех» (</w:t>
      </w:r>
      <w:r w:rsidR="001D3CF5" w:rsidRPr="00F30D55">
        <w:rPr>
          <w:rFonts w:eastAsia="Lucida Sans Unicode"/>
          <w:color w:val="000000"/>
          <w:spacing w:val="2"/>
          <w:sz w:val="28"/>
          <w:szCs w:val="28"/>
          <w:lang w:bidi="en-US"/>
        </w:rPr>
        <w:t>Ивановская область, п. Палех, центр)</w:t>
      </w:r>
      <w:r w:rsidR="00D433B7">
        <w:rPr>
          <w:sz w:val="28"/>
          <w:szCs w:val="28"/>
        </w:rPr>
        <w:t>»</w:t>
      </w:r>
      <w:bookmarkEnd w:id="0"/>
      <w:proofErr w:type="gramEnd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1D3CF5" w:rsidRPr="00A07A19">
        <w:rPr>
          <w:sz w:val="28"/>
          <w:szCs w:val="28"/>
        </w:rPr>
        <w:t xml:space="preserve">от </w:t>
      </w:r>
      <w:r w:rsidR="001D3CF5">
        <w:rPr>
          <w:sz w:val="28"/>
          <w:szCs w:val="28"/>
        </w:rPr>
        <w:t>01</w:t>
      </w:r>
      <w:r w:rsidR="001D3CF5" w:rsidRPr="00A07A19">
        <w:rPr>
          <w:sz w:val="28"/>
          <w:szCs w:val="28"/>
        </w:rPr>
        <w:t>.</w:t>
      </w:r>
      <w:r w:rsidR="001D3CF5">
        <w:rPr>
          <w:sz w:val="28"/>
          <w:szCs w:val="28"/>
        </w:rPr>
        <w:t>1</w:t>
      </w:r>
      <w:r w:rsidR="001D3CF5" w:rsidRPr="00A07A19">
        <w:rPr>
          <w:sz w:val="28"/>
          <w:szCs w:val="28"/>
        </w:rPr>
        <w:t>2.20</w:t>
      </w:r>
      <w:r w:rsidR="001D3CF5">
        <w:rPr>
          <w:sz w:val="28"/>
          <w:szCs w:val="28"/>
        </w:rPr>
        <w:t>17</w:t>
      </w:r>
      <w:r w:rsidR="001D3CF5" w:rsidRPr="00772956">
        <w:rPr>
          <w:sz w:val="28"/>
          <w:szCs w:val="28"/>
        </w:rPr>
        <w:t xml:space="preserve"> № </w:t>
      </w:r>
      <w:r w:rsidR="001D3CF5">
        <w:rPr>
          <w:sz w:val="28"/>
          <w:szCs w:val="28"/>
        </w:rPr>
        <w:t>128</w:t>
      </w:r>
      <w:r w:rsidR="001D3CF5" w:rsidRPr="00772956">
        <w:rPr>
          <w:sz w:val="28"/>
          <w:szCs w:val="28"/>
        </w:rPr>
        <w:t>-о</w:t>
      </w:r>
      <w:r w:rsidR="00772956" w:rsidRPr="00772956">
        <w:rPr>
          <w:sz w:val="28"/>
          <w:szCs w:val="28"/>
        </w:rPr>
        <w:t xml:space="preserve"> </w:t>
      </w:r>
      <w:r w:rsidR="00D433B7">
        <w:rPr>
          <w:sz w:val="28"/>
          <w:szCs w:val="28"/>
        </w:rPr>
        <w:t>«</w:t>
      </w:r>
      <w:r w:rsidR="001D3CF5" w:rsidRPr="00F30D55">
        <w:rPr>
          <w:sz w:val="28"/>
          <w:szCs w:val="28"/>
        </w:rPr>
        <w:t>О включении выявленного объекта культурного наследия «</w:t>
      </w:r>
      <w:r w:rsidR="001D3CF5" w:rsidRPr="00F30D5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Исторический центр </w:t>
      </w:r>
      <w:proofErr w:type="spellStart"/>
      <w:r w:rsidR="001D3CF5" w:rsidRPr="00F30D55">
        <w:rPr>
          <w:rFonts w:eastAsia="Lucida Sans Unicode"/>
          <w:color w:val="000000"/>
          <w:spacing w:val="2"/>
          <w:sz w:val="28"/>
          <w:szCs w:val="28"/>
          <w:lang w:bidi="en-US"/>
        </w:rPr>
        <w:t>р.п</w:t>
      </w:r>
      <w:proofErr w:type="spellEnd"/>
      <w:r w:rsidR="001D3CF5" w:rsidRPr="00F30D5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. </w:t>
      </w:r>
      <w:proofErr w:type="gramStart"/>
      <w:r w:rsidR="001D3CF5" w:rsidRPr="00F30D55">
        <w:rPr>
          <w:rFonts w:eastAsia="Lucida Sans Unicode"/>
          <w:color w:val="000000"/>
          <w:spacing w:val="2"/>
          <w:sz w:val="28"/>
          <w:szCs w:val="28"/>
          <w:lang w:bidi="en-US"/>
        </w:rPr>
        <w:t>Палех</w:t>
      </w:r>
      <w:r w:rsidR="001D3CF5" w:rsidRPr="00F30D55">
        <w:rPr>
          <w:sz w:val="28"/>
          <w:szCs w:val="28"/>
        </w:rPr>
        <w:t>»</w:t>
      </w:r>
      <w:r w:rsidR="001D3CF5" w:rsidRPr="00F30D5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(Ивановская область, п. Палех, центр)</w:t>
      </w:r>
      <w:r w:rsidR="001D3CF5" w:rsidRPr="00F30D55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«Исторический центр поселка Палех» (</w:t>
      </w:r>
      <w:r w:rsidR="001D3CF5" w:rsidRPr="00F30D5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Ивановская </w:t>
      </w:r>
      <w:r w:rsidR="001D3CF5" w:rsidRPr="00F30D55">
        <w:rPr>
          <w:rFonts w:eastAsia="Lucida Sans Unicode"/>
          <w:color w:val="000000"/>
          <w:spacing w:val="2"/>
          <w:sz w:val="28"/>
          <w:szCs w:val="28"/>
          <w:lang w:bidi="en-US"/>
        </w:rPr>
        <w:lastRenderedPageBreak/>
        <w:t>область, п. Палех, центр)</w:t>
      </w:r>
      <w:r w:rsidR="00D433B7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  <w:proofErr w:type="gramEnd"/>
    </w:p>
    <w:p w:rsidR="0098386C" w:rsidRPr="009E3427" w:rsidRDefault="0098386C" w:rsidP="009E3427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3427">
        <w:rPr>
          <w:sz w:val="28"/>
          <w:szCs w:val="28"/>
        </w:rPr>
        <w:t xml:space="preserve">1.1. </w:t>
      </w:r>
      <w:r w:rsidR="001D3CF5">
        <w:rPr>
          <w:sz w:val="28"/>
          <w:szCs w:val="28"/>
        </w:rPr>
        <w:t>В пункте 2 приказа, в наименованиях разделов приложения к приказу слова «достопримечательного места» заменить словами «объекта культурного наследия»</w:t>
      </w:r>
      <w:r w:rsidRPr="009E3427">
        <w:rPr>
          <w:sz w:val="28"/>
          <w:szCs w:val="28"/>
        </w:rPr>
        <w:t>;</w:t>
      </w:r>
    </w:p>
    <w:p w:rsidR="0098386C" w:rsidRDefault="0098386C" w:rsidP="00F92A07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7A19">
        <w:rPr>
          <w:sz w:val="28"/>
          <w:szCs w:val="28"/>
        </w:rPr>
        <w:t>2</w:t>
      </w:r>
      <w:r>
        <w:rPr>
          <w:sz w:val="28"/>
          <w:szCs w:val="28"/>
        </w:rPr>
        <w:t>. Пункт 3 п</w:t>
      </w:r>
      <w:r w:rsidR="00A63D28">
        <w:rPr>
          <w:sz w:val="28"/>
          <w:szCs w:val="28"/>
        </w:rPr>
        <w:t>риказа признать утратившим силу;</w:t>
      </w:r>
    </w:p>
    <w:p w:rsidR="0098386C" w:rsidRDefault="0098386C" w:rsidP="009838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7A19">
        <w:rPr>
          <w:sz w:val="28"/>
          <w:szCs w:val="28"/>
        </w:rPr>
        <w:t>3</w:t>
      </w:r>
      <w:r>
        <w:rPr>
          <w:sz w:val="28"/>
          <w:szCs w:val="28"/>
        </w:rPr>
        <w:t xml:space="preserve">. Раздел «Координаты </w:t>
      </w:r>
      <w:r w:rsidR="001D3CF5" w:rsidRPr="00166AD2">
        <w:rPr>
          <w:sz w:val="28"/>
          <w:szCs w:val="28"/>
        </w:rPr>
        <w:t xml:space="preserve">характерных (поворотных) точек </w:t>
      </w:r>
      <w:r w:rsidR="001D3CF5" w:rsidRPr="006451A3">
        <w:rPr>
          <w:sz w:val="28"/>
          <w:szCs w:val="28"/>
        </w:rPr>
        <w:t>границ</w:t>
      </w:r>
      <w:r w:rsidR="001D3CF5">
        <w:rPr>
          <w:sz w:val="28"/>
          <w:szCs w:val="28"/>
        </w:rPr>
        <w:t>ы</w:t>
      </w:r>
      <w:r w:rsidR="001D3CF5" w:rsidRPr="006451A3">
        <w:rPr>
          <w:sz w:val="28"/>
          <w:szCs w:val="28"/>
        </w:rPr>
        <w:t xml:space="preserve"> территории</w:t>
      </w:r>
      <w:r w:rsidR="001D3CF5">
        <w:rPr>
          <w:sz w:val="28"/>
          <w:szCs w:val="28"/>
        </w:rPr>
        <w:t xml:space="preserve"> достопримечательного места</w:t>
      </w:r>
      <w:r w:rsidR="001D3CF5" w:rsidRPr="006A3820">
        <w:rPr>
          <w:sz w:val="28"/>
          <w:szCs w:val="28"/>
        </w:rPr>
        <w:t xml:space="preserve"> местного (муниципального)</w:t>
      </w:r>
      <w:r w:rsidR="001D3CF5">
        <w:rPr>
          <w:sz w:val="28"/>
          <w:szCs w:val="28"/>
        </w:rPr>
        <w:t xml:space="preserve"> </w:t>
      </w:r>
      <w:r w:rsidR="001D3CF5" w:rsidRPr="006A3820">
        <w:rPr>
          <w:sz w:val="28"/>
          <w:szCs w:val="28"/>
        </w:rPr>
        <w:t>значения</w:t>
      </w:r>
      <w:r w:rsidR="001D3CF5">
        <w:rPr>
          <w:sz w:val="28"/>
          <w:szCs w:val="28"/>
        </w:rPr>
        <w:t xml:space="preserve"> </w:t>
      </w:r>
      <w:r w:rsidR="001D3CF5" w:rsidRPr="00AB1D6D">
        <w:rPr>
          <w:sz w:val="28"/>
          <w:szCs w:val="28"/>
        </w:rPr>
        <w:t>«</w:t>
      </w:r>
      <w:r w:rsidR="001D3CF5" w:rsidRPr="00A24735">
        <w:rPr>
          <w:sz w:val="28"/>
          <w:szCs w:val="28"/>
        </w:rPr>
        <w:t>Исторический центр</w:t>
      </w:r>
      <w:r w:rsidR="001D3CF5">
        <w:rPr>
          <w:sz w:val="28"/>
          <w:szCs w:val="28"/>
        </w:rPr>
        <w:t xml:space="preserve"> </w:t>
      </w:r>
      <w:r w:rsidR="001D3CF5" w:rsidRPr="00A24735">
        <w:rPr>
          <w:sz w:val="28"/>
          <w:szCs w:val="28"/>
        </w:rPr>
        <w:t>поселка Палех»</w:t>
      </w:r>
      <w:r w:rsidR="001D3CF5">
        <w:rPr>
          <w:sz w:val="28"/>
          <w:szCs w:val="28"/>
        </w:rPr>
        <w:t xml:space="preserve"> </w:t>
      </w:r>
      <w:r w:rsidR="001D3CF5" w:rsidRPr="00A24735">
        <w:rPr>
          <w:sz w:val="28"/>
          <w:szCs w:val="28"/>
        </w:rPr>
        <w:t>(</w:t>
      </w:r>
      <w:r w:rsidR="001D3CF5" w:rsidRPr="00A24735">
        <w:rPr>
          <w:rFonts w:eastAsia="Lucida Sans Unicode"/>
          <w:color w:val="000000"/>
          <w:spacing w:val="2"/>
          <w:sz w:val="28"/>
          <w:szCs w:val="28"/>
          <w:lang w:bidi="en-US"/>
        </w:rPr>
        <w:t>Ивановская область, п. Палех, центр</w:t>
      </w:r>
      <w:r w:rsidR="001D3CF5" w:rsidRPr="00935446">
        <w:rPr>
          <w:sz w:val="28"/>
          <w:szCs w:val="28"/>
        </w:rPr>
        <w:t>)</w:t>
      </w:r>
      <w:r>
        <w:rPr>
          <w:sz w:val="28"/>
          <w:szCs w:val="28"/>
        </w:rPr>
        <w:t>» приложения к приказу изложить в новой редакции согласно приложению к настоящему приказу.</w:t>
      </w:r>
    </w:p>
    <w:p w:rsidR="0098386C" w:rsidRDefault="0098386C" w:rsidP="0098386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98386C" w:rsidRDefault="0098386C" w:rsidP="0098386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98386C" w:rsidRPr="001E0012" w:rsidRDefault="0098386C" w:rsidP="0098386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F2178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</w:p>
    <w:p w:rsidR="00501613" w:rsidRPr="0017243C" w:rsidRDefault="00501613" w:rsidP="00501613">
      <w:pPr>
        <w:ind w:firstLine="708"/>
        <w:jc w:val="right"/>
      </w:pPr>
    </w:p>
    <w:p w:rsidR="00501613" w:rsidRDefault="002D5A3E" w:rsidP="00486D71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7768D7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Default="00A07A19" w:rsidP="00486D71">
      <w:pPr>
        <w:jc w:val="center"/>
        <w:rPr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  <w:r w:rsidRPr="00471943"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="001D3CF5" w:rsidRPr="00AB1D6D">
        <w:rPr>
          <w:sz w:val="28"/>
          <w:szCs w:val="28"/>
        </w:rPr>
        <w:t>«</w:t>
      </w:r>
      <w:r w:rsidR="001D3CF5" w:rsidRPr="00A24735">
        <w:rPr>
          <w:sz w:val="28"/>
          <w:szCs w:val="28"/>
        </w:rPr>
        <w:t>Исторический центр</w:t>
      </w:r>
      <w:r w:rsidR="001D3CF5">
        <w:rPr>
          <w:sz w:val="28"/>
          <w:szCs w:val="28"/>
        </w:rPr>
        <w:t xml:space="preserve"> </w:t>
      </w:r>
      <w:r w:rsidR="001D3CF5" w:rsidRPr="00A24735">
        <w:rPr>
          <w:sz w:val="28"/>
          <w:szCs w:val="28"/>
        </w:rPr>
        <w:t>поселка Палех»</w:t>
      </w:r>
      <w:r w:rsidR="001D3CF5">
        <w:rPr>
          <w:sz w:val="28"/>
          <w:szCs w:val="28"/>
        </w:rPr>
        <w:t xml:space="preserve"> </w:t>
      </w:r>
      <w:r w:rsidR="001D3CF5" w:rsidRPr="00A24735">
        <w:rPr>
          <w:sz w:val="28"/>
          <w:szCs w:val="28"/>
        </w:rPr>
        <w:t>(</w:t>
      </w:r>
      <w:r w:rsidR="001D3CF5" w:rsidRPr="00A24735">
        <w:rPr>
          <w:rFonts w:eastAsia="Lucida Sans Unicode"/>
          <w:color w:val="000000"/>
          <w:spacing w:val="2"/>
          <w:sz w:val="28"/>
          <w:szCs w:val="28"/>
          <w:lang w:bidi="en-US"/>
        </w:rPr>
        <w:t>Ивановская область, п. Палех, центр</w:t>
      </w:r>
      <w:r w:rsidR="001D3CF5" w:rsidRPr="00935446">
        <w:rPr>
          <w:sz w:val="28"/>
          <w:szCs w:val="28"/>
        </w:rPr>
        <w:t>)</w:t>
      </w:r>
      <w:proofErr w:type="gramEnd"/>
    </w:p>
    <w:p w:rsidR="00501613" w:rsidRPr="0017243C" w:rsidRDefault="00501613" w:rsidP="0017243C">
      <w:pPr>
        <w:spacing w:line="18" w:lineRule="atLeast"/>
        <w:contextualSpacing/>
        <w:jc w:val="center"/>
      </w:pPr>
    </w:p>
    <w:p w:rsidR="00501613" w:rsidRDefault="00501613" w:rsidP="0017243C">
      <w:pPr>
        <w:spacing w:line="1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Default="00501613" w:rsidP="0017243C">
      <w:pPr>
        <w:spacing w:line="18" w:lineRule="atLeast"/>
        <w:jc w:val="center"/>
        <w:rPr>
          <w:b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915"/>
        <w:gridCol w:w="3881"/>
      </w:tblGrid>
      <w:tr w:rsidR="001D3CF5" w:rsidRPr="00B119B5" w:rsidTr="004620F8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Номер пов</w:t>
            </w:r>
            <w:r w:rsidRPr="00B119B5">
              <w:rPr>
                <w:sz w:val="28"/>
                <w:szCs w:val="28"/>
              </w:rPr>
              <w:t>о</w:t>
            </w:r>
            <w:r w:rsidRPr="00B119B5">
              <w:rPr>
                <w:sz w:val="28"/>
                <w:szCs w:val="28"/>
              </w:rPr>
              <w:t>ротной то</w:t>
            </w:r>
            <w:r w:rsidRPr="00B119B5">
              <w:rPr>
                <w:sz w:val="28"/>
                <w:szCs w:val="28"/>
              </w:rPr>
              <w:t>ч</w:t>
            </w:r>
            <w:r w:rsidRPr="00B119B5">
              <w:rPr>
                <w:sz w:val="28"/>
                <w:szCs w:val="28"/>
              </w:rPr>
              <w:t>ки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Координаты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F5" w:rsidRPr="00B119B5" w:rsidRDefault="001D3CF5" w:rsidP="00B119B5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  <w:lang w:val="en-US"/>
              </w:rPr>
              <w:t>Y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2268508.79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283276.20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2268510.97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283267.37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2268510.81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283256.03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2268498.41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283230.88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  <w:lang w:val="en-US"/>
              </w:rPr>
            </w:pPr>
            <w:r w:rsidRPr="00B119B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2268477.65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283227.00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  <w:lang w:val="en-US"/>
              </w:rPr>
            </w:pPr>
            <w:r w:rsidRPr="00B119B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2268483.12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283208.47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  <w:lang w:val="en-US"/>
              </w:rPr>
            </w:pPr>
            <w:r w:rsidRPr="00B119B5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2268483.72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283206.13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  <w:lang w:val="en-US"/>
              </w:rPr>
            </w:pPr>
            <w:r w:rsidRPr="00B119B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2268488.69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283186.54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2268494.45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283164.90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2268502.06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283144.09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2268503.91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283127.31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2268511.16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283106.61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2268513.18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283095.59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2268514.82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283082.63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2268516.78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283076.21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2268522.83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283062.65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2268526.36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283045.76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2268548.44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282980.33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2268603.72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282991.23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2268603.99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282988.48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2268610.33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282961.96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2268628.07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282957.09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2268646.27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282973.17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2268689.73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282979.26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2268711.95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282986.24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2268740.50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282998.96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2268732.80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283022.56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2268722.76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283143.63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2268733.20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283148.92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30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2268726.11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283166.07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2268734.70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283169.80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32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2268727.74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283187.63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33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2268751.22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283196.79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34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2268755.78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283198.57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35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2268753.40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283205.31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36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2268757.58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283207.20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37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2268769.45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283212.57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38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2268770.67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283213.22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39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2268786.51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283218.87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40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2268783.73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283226.99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41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2268798.47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283234.80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42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2268799.57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283230.39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43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2268815.07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283235.75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44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2268819.07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283225.31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45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2268833.08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283230.53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46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2268846.12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283240.79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47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2268857.26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283243.75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48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2268861.46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283245.82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49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2268876.82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283251.30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50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2268876.82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283265.56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51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2268887.18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283269.56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52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2268892.51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283256.46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53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2268899.46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283258.24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54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2268908.79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283261.61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55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2268919.45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283264.95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56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2268922.31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283265.86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57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2268934.51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283270.72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58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2268967.84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283279.13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59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2268987.06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283257.56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60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2268996.63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283260.15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61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2269006.58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283263.83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62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2269064.15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283287.91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63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2269078.86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283292.11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64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2269092.79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283298.26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65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2269105.81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283316.02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66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2269123.16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283320.98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67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2269169.00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283330.37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68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2269156.12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283357.51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69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2269145.62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283385.16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70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2269144.85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283399.70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71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2269140.49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283414.10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72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2269131.18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283426.84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73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2269121.52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283434.75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74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2269108.08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283442.23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75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2269101.96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283450.56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76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2269064.16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283517.37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2269022.01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283485.94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78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2269014.85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283483.73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79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2269011.96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283488.30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80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2269004.78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283486.78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81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2268991.82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283500.72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82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2268978.66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283498.86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83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2268954.52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283507.43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84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2268943.78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283505.79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85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2268930.06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283504.07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86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2268924.50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283525.05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87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2268915.85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283523.90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88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2268915.22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283527.22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89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2268908.12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283526.15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90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2268891.00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283523.26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91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2268827.41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283510.30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92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2268798.23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283484.75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93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2268771.97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283478.90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94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2268768.71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283478.68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95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2268756.53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283496.19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96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2268729.57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283489.82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97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2268716.83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283486.75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98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2268711.09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283485.33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99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2268710.14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283486.03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2268694.50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283481.37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101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2268696.69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283471.16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102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2268698.08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283465.13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103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2268699.48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283458.09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104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2268687.26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283454.83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105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2268687.46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283452.11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106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2268647.34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283443.95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107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2268633.09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283417.46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108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2268606.79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283411.83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109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2268597.81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283408.89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2268596.95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283408.48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111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2268595.35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283408.14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112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2268582.27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283407.01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2268556.76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283400.95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114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2268530.49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283396.52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115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2268535.12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283382.17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116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2268537.82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283372.72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117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2268510.90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283365.36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118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2268510.77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283363.25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119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2268512.26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283357.60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120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2268510.83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283352.51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121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2268517.79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283336.20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122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Standard"/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2268504.26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9B5">
              <w:rPr>
                <w:rFonts w:ascii="Times New Roman" w:hAnsi="Times New Roman" w:cs="Times New Roman"/>
                <w:sz w:val="28"/>
                <w:szCs w:val="28"/>
              </w:rPr>
              <w:t>283311.37</w:t>
            </w:r>
          </w:p>
        </w:tc>
      </w:tr>
      <w:tr w:rsidR="001D3CF5" w:rsidRPr="00B119B5" w:rsidTr="004620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2268508.79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F5" w:rsidRPr="00B119B5" w:rsidRDefault="001D3CF5" w:rsidP="00B119B5">
            <w:pPr>
              <w:jc w:val="center"/>
              <w:rPr>
                <w:sz w:val="28"/>
                <w:szCs w:val="28"/>
              </w:rPr>
            </w:pPr>
            <w:r w:rsidRPr="00B119B5">
              <w:rPr>
                <w:sz w:val="28"/>
                <w:szCs w:val="28"/>
              </w:rPr>
              <w:t>283276.20</w:t>
            </w:r>
            <w:r w:rsidR="00B119B5" w:rsidRPr="00B119B5">
              <w:rPr>
                <w:sz w:val="28"/>
                <w:szCs w:val="28"/>
              </w:rPr>
              <w:t>»</w:t>
            </w:r>
          </w:p>
        </w:tc>
      </w:tr>
    </w:tbl>
    <w:p w:rsidR="00907A80" w:rsidRPr="0017243C" w:rsidRDefault="00907A80" w:rsidP="00A07A19">
      <w:pPr>
        <w:pStyle w:val="ad"/>
        <w:spacing w:line="18" w:lineRule="atLeast"/>
        <w:jc w:val="center"/>
        <w:rPr>
          <w:rFonts w:ascii="Times New Roman" w:hAnsi="Times New Roman"/>
          <w:sz w:val="2"/>
          <w:szCs w:val="2"/>
        </w:rPr>
      </w:pPr>
    </w:p>
    <w:sectPr w:rsidR="00907A80" w:rsidRPr="001724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A60" w:rsidRDefault="00020A60" w:rsidP="00E85028">
      <w:r>
        <w:separator/>
      </w:r>
    </w:p>
  </w:endnote>
  <w:endnote w:type="continuationSeparator" w:id="0">
    <w:p w:rsidR="00020A60" w:rsidRDefault="00020A60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A60" w:rsidRDefault="00020A60" w:rsidP="00E85028">
      <w:r>
        <w:separator/>
      </w:r>
    </w:p>
  </w:footnote>
  <w:footnote w:type="continuationSeparator" w:id="0">
    <w:p w:rsidR="00020A60" w:rsidRDefault="00020A60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0A60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2626"/>
    <w:rsid w:val="000839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24396"/>
    <w:rsid w:val="001416CF"/>
    <w:rsid w:val="00145A7A"/>
    <w:rsid w:val="001506BA"/>
    <w:rsid w:val="0015554B"/>
    <w:rsid w:val="00167AC9"/>
    <w:rsid w:val="00170888"/>
    <w:rsid w:val="0017243C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3CF5"/>
    <w:rsid w:val="001D6009"/>
    <w:rsid w:val="001F1C7A"/>
    <w:rsid w:val="00200B92"/>
    <w:rsid w:val="002124D5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5BED"/>
    <w:rsid w:val="002D27AF"/>
    <w:rsid w:val="002D30C5"/>
    <w:rsid w:val="002D5A3E"/>
    <w:rsid w:val="002D7EB3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276AE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40C6"/>
    <w:rsid w:val="003B0494"/>
    <w:rsid w:val="003B169A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86D71"/>
    <w:rsid w:val="00493A89"/>
    <w:rsid w:val="00497177"/>
    <w:rsid w:val="004A7E07"/>
    <w:rsid w:val="004C53ED"/>
    <w:rsid w:val="004D640C"/>
    <w:rsid w:val="004E231C"/>
    <w:rsid w:val="004E36B0"/>
    <w:rsid w:val="004E6086"/>
    <w:rsid w:val="004F5610"/>
    <w:rsid w:val="004F6BEF"/>
    <w:rsid w:val="004F7C19"/>
    <w:rsid w:val="00500CDE"/>
    <w:rsid w:val="00501613"/>
    <w:rsid w:val="00504188"/>
    <w:rsid w:val="0050446C"/>
    <w:rsid w:val="005107A7"/>
    <w:rsid w:val="00512FD4"/>
    <w:rsid w:val="005141B9"/>
    <w:rsid w:val="00523986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E2839"/>
    <w:rsid w:val="005F45C7"/>
    <w:rsid w:val="00600B56"/>
    <w:rsid w:val="00601727"/>
    <w:rsid w:val="006068F1"/>
    <w:rsid w:val="00615153"/>
    <w:rsid w:val="0062181A"/>
    <w:rsid w:val="00624FB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64F8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E6D04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60B4D"/>
    <w:rsid w:val="00762E27"/>
    <w:rsid w:val="00765B65"/>
    <w:rsid w:val="00767E9E"/>
    <w:rsid w:val="00772956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C564D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8E2896"/>
    <w:rsid w:val="00904E98"/>
    <w:rsid w:val="00907709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386C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E3427"/>
    <w:rsid w:val="009F750A"/>
    <w:rsid w:val="00A029CB"/>
    <w:rsid w:val="00A03BA6"/>
    <w:rsid w:val="00A03CBD"/>
    <w:rsid w:val="00A07A19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515D2"/>
    <w:rsid w:val="00A63D28"/>
    <w:rsid w:val="00A66B40"/>
    <w:rsid w:val="00A670A2"/>
    <w:rsid w:val="00A72DC6"/>
    <w:rsid w:val="00A743AD"/>
    <w:rsid w:val="00A85C10"/>
    <w:rsid w:val="00A93AEA"/>
    <w:rsid w:val="00AA1C87"/>
    <w:rsid w:val="00AA2E65"/>
    <w:rsid w:val="00AA55C6"/>
    <w:rsid w:val="00AC1EB8"/>
    <w:rsid w:val="00AC56D5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19B5"/>
    <w:rsid w:val="00B151C8"/>
    <w:rsid w:val="00B16970"/>
    <w:rsid w:val="00B21F01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2650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A3546"/>
    <w:rsid w:val="00CB3096"/>
    <w:rsid w:val="00CC4883"/>
    <w:rsid w:val="00CD7C06"/>
    <w:rsid w:val="00CE2516"/>
    <w:rsid w:val="00CE674F"/>
    <w:rsid w:val="00CF29E3"/>
    <w:rsid w:val="00D00B8A"/>
    <w:rsid w:val="00D00D65"/>
    <w:rsid w:val="00D15165"/>
    <w:rsid w:val="00D23584"/>
    <w:rsid w:val="00D31174"/>
    <w:rsid w:val="00D41707"/>
    <w:rsid w:val="00D433B7"/>
    <w:rsid w:val="00D43FB2"/>
    <w:rsid w:val="00D521B8"/>
    <w:rsid w:val="00D531A9"/>
    <w:rsid w:val="00D57B40"/>
    <w:rsid w:val="00D6073B"/>
    <w:rsid w:val="00D81B87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2650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15DE"/>
    <w:rsid w:val="00EC3EC6"/>
    <w:rsid w:val="00ED5F9A"/>
    <w:rsid w:val="00ED687A"/>
    <w:rsid w:val="00EE46AB"/>
    <w:rsid w:val="00EE57ED"/>
    <w:rsid w:val="00EE5A61"/>
    <w:rsid w:val="00EE61A4"/>
    <w:rsid w:val="00EE61BE"/>
    <w:rsid w:val="00EF5CBF"/>
    <w:rsid w:val="00EF5EA1"/>
    <w:rsid w:val="00EF6334"/>
    <w:rsid w:val="00F03E27"/>
    <w:rsid w:val="00F135EC"/>
    <w:rsid w:val="00F22FAB"/>
    <w:rsid w:val="00F5265C"/>
    <w:rsid w:val="00F56A79"/>
    <w:rsid w:val="00F606F8"/>
    <w:rsid w:val="00F662E5"/>
    <w:rsid w:val="00F71A12"/>
    <w:rsid w:val="00F73FBB"/>
    <w:rsid w:val="00F754B6"/>
    <w:rsid w:val="00F851D2"/>
    <w:rsid w:val="00F92A07"/>
    <w:rsid w:val="00F93EA0"/>
    <w:rsid w:val="00F94397"/>
    <w:rsid w:val="00F962B2"/>
    <w:rsid w:val="00FB314B"/>
    <w:rsid w:val="00FB5AFA"/>
    <w:rsid w:val="00FB66D8"/>
    <w:rsid w:val="00FC4AAE"/>
    <w:rsid w:val="00FD6803"/>
    <w:rsid w:val="00FD716A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AE456-4B6C-43A4-BC4D-39E831EB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54</cp:revision>
  <cp:lastPrinted>2024-04-08T10:25:00Z</cp:lastPrinted>
  <dcterms:created xsi:type="dcterms:W3CDTF">2023-08-18T08:53:00Z</dcterms:created>
  <dcterms:modified xsi:type="dcterms:W3CDTF">2024-04-08T10:29:00Z</dcterms:modified>
</cp:coreProperties>
</file>