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4308475</wp:posOffset>
                </wp:positionH>
                <wp:positionV relativeFrom="paragraph">
                  <wp:posOffset>-475615</wp:posOffset>
                </wp:positionV>
                <wp:extent cx="2161540" cy="1441450"/>
                <wp:effectExtent l="0" t="0" r="12065" b="27305"/>
                <wp:wrapNone/>
                <wp:docPr id="1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080" cy="14407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b/>
                                <w:bCs/>
                                <w:color w:val="000000"/>
                                <w:lang w:eastAsia="en-US"/>
                              </w:rPr>
                              <w:t>ЗАРЕГИСТРИРОВАНО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>«______» _____________ 20_____ г.</w:t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31"/>
                              <w:tabs>
                                <w:tab w:val="clear" w:pos="708"/>
                                <w:tab w:val="left" w:pos="1226" w:leader="none"/>
                                <w:tab w:val="left" w:pos="1560" w:leader="none"/>
                              </w:tabs>
                              <w:overflowPunct w:val="false"/>
                              <w:jc w:val="center"/>
                              <w:rPr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rFonts w:eastAsia="Calibri" w:ascii="Tinos" w:hAnsi="Tinos"/>
                                <w:color w:val="000000"/>
                                <w:lang w:eastAsia="en-US"/>
                              </w:rPr>
                              <w:t xml:space="preserve">Регистрационный № _______________ </w:t>
                            </w:r>
                            <w:bookmarkEnd w:id="0"/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stroked="t" style="position:absolute;margin-left:339.25pt;margin-top:-37.45pt;width:170.1pt;height:113.4pt;mso-wrap-style:square;v-text-anchor:top"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eastAsia="Calibri" w:ascii="Tinos" w:hAnsi="Tinos"/>
                          <w:color w:val="000000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культурного наследия</w:t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b/>
                          <w:bCs/>
                          <w:color w:val="000000"/>
                          <w:lang w:eastAsia="en-US"/>
                        </w:rPr>
                        <w:t>ЗАРЕГИСТРИРОВАНО</w:t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8"/>
                          <w:szCs w:val="8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>«______» _____________ 20_____ г.</w:t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31"/>
                        <w:tabs>
                          <w:tab w:val="clear" w:pos="708"/>
                          <w:tab w:val="left" w:pos="1226" w:leader="none"/>
                          <w:tab w:val="left" w:pos="1560" w:leader="none"/>
                        </w:tabs>
                        <w:overflowPunct w:val="false"/>
                        <w:jc w:val="center"/>
                        <w:rPr>
                          <w:color w:val="000000"/>
                        </w:rPr>
                      </w:pPr>
                      <w:bookmarkStart w:id="1" w:name="_GoBack"/>
                      <w:r>
                        <w:rPr>
                          <w:rFonts w:eastAsia="Calibri" w:ascii="Tinos" w:hAnsi="Tinos"/>
                          <w:color w:val="000000"/>
                          <w:lang w:eastAsia="en-US"/>
                        </w:rPr>
                        <w:t xml:space="preserve">Регистрационный № _______________ </w:t>
                      </w:r>
                      <w:bookmarkEnd w:id="1"/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2775585</wp:posOffset>
            </wp:positionH>
            <wp:positionV relativeFrom="paragraph">
              <wp:posOffset>361950</wp:posOffset>
            </wp:positionV>
            <wp:extent cx="922655" cy="691515"/>
            <wp:effectExtent l="0" t="0" r="0" b="0"/>
            <wp:wrapTopAndBottom/>
            <wp:docPr id="3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ПО ГОСУДАРСТВЕННОЙ ОХРАНЕ ОБЪЕКТОВ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10205"/>
      </w:tblGrid>
      <w:tr>
        <w:trPr>
          <w:trHeight w:val="66" w:hRule="atLeast"/>
        </w:trPr>
        <w:tc>
          <w:tcPr>
            <w:tcW w:w="102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</w:r>
          </w:p>
        </w:tc>
      </w:tr>
    </w:tbl>
    <w:p>
      <w:pPr>
        <w:pStyle w:val="Normal"/>
        <w:widowControl/>
        <w:jc w:val="center"/>
        <w:rPr>
          <w:spacing w:val="80"/>
        </w:rPr>
      </w:pPr>
      <w:r>
        <w:rPr>
          <w:spacing w:val="80"/>
        </w:rPr>
      </w:r>
    </w:p>
    <w:p>
      <w:pPr>
        <w:pStyle w:val="Normal"/>
        <w:widowControl/>
        <w:jc w:val="center"/>
        <w:rPr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>
      <w:pPr>
        <w:pStyle w:val="Normal"/>
        <w:widowControl/>
        <w:spacing w:before="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402"/>
        <w:gridCol w:w="1700"/>
        <w:gridCol w:w="1701"/>
        <w:gridCol w:w="3402"/>
      </w:tblGrid>
      <w:tr>
        <w:trPr>
          <w:trHeight w:val="365" w:hRule="atLeast"/>
        </w:trPr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 20__ г.</w:t>
            </w:r>
          </w:p>
        </w:tc>
        <w:tc>
          <w:tcPr>
            <w:tcW w:w="340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_______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ConsPlusTitle"/>
              <w:widowControl w:val="false"/>
              <w:spacing w:before="0" w:after="0"/>
              <w:contextualSpacing/>
              <w:jc w:val="center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О внесении изменений в приказ комитета Ивановской области </w:t>
              <w:br/>
              <w:t>по государственной охране объект</w:t>
            </w:r>
            <w:bookmarkStart w:id="2" w:name="_GoBack1"/>
            <w:bookmarkEnd w:id="2"/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</w:rPr>
              <w:t>ов культурного наследия от 07.11.2022 № 55-о «Об утверждении положения об аттестационной комиссии комитета Ивановской области по государственной охране объектов культурного наследия»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402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В соответствии с Федеральным законом от 27.07.2004 № 79-ФЗ                                  «О государственной гражданской службе Российской Федерации»,                             Указом </w:t>
            </w: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>Президента Российской Федерации от 29.04.2023 № 319 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Об изменении                             и признании утратившими силу некоторых актов Президента Российской Федерации</w:t>
            </w: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>»,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 постановлением Правительства Российской Федерации от 09.09.2020 № 1387 «Об утверждении единой методики проведения аттестации государственных гражданских служащих Российской Федерации», Законом Ивановской области 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>от 06.04.2005 № 69-ОЗ «О государственной гражданской службе Ивановской области» в целях приведени</w:t>
            </w:r>
            <w:r>
              <w:rPr>
                <w:rFonts w:eastAsia="Times New Roman" w:cs="Times New Roman" w:ascii="Tinos" w:hAnsi="Tinos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я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 xml:space="preserve"> нормативного правового акта комитета Ивановской области по государственной охране объектов культурного наследия в соответствие с федеральными нормативными правовыми актами                  п р и к а з ы в а ю: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 w:cs="Times New Roman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>внести в приказ комитета Ивановской области по государственной охране объектов культурного наследия от 07.11.2022 № 55-о «Об утверждении положения об аттестационной комиссии комитета Ивановской области по государственной охране объектов культурного наследия» следующие изменения: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bCs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 xml:space="preserve">1. </w:t>
            </w:r>
            <w:r>
              <w:rPr>
                <w:rFonts w:cs="Times New Roman" w:ascii="Tinos" w:hAnsi="Tinos"/>
                <w:b w:val="false"/>
                <w:bCs w:val="false"/>
                <w:sz w:val="28"/>
                <w:szCs w:val="28"/>
                <w:shd w:fill="auto" w:val="clear"/>
              </w:rPr>
              <w:t xml:space="preserve">Преамбулу изложить в следующей редакции: </w:t>
            </w:r>
          </w:p>
          <w:p>
            <w:pPr>
              <w:pStyle w:val="ConsPlusTitle"/>
              <w:tabs>
                <w:tab w:val="clear" w:pos="708"/>
                <w:tab w:val="left" w:pos="709" w:leader="none"/>
              </w:tabs>
              <w:spacing w:lineRule="auto" w:line="276"/>
              <w:ind w:left="0" w:right="0" w:firstLine="709"/>
              <w:jc w:val="both"/>
              <w:rPr/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«В соответствии с Федеральным законом от 27.07.2004 № 79-ФЗ                           «О государственной гражданской службе Российской Федерации», Указом Президента Российской Федерации от 01.02.2005 </w:t>
            </w:r>
            <w:hyperlink r:id="rId3">
              <w:r>
                <w:rPr>
                  <w:rFonts w:cs="Times New Roman" w:ascii="Tinos" w:hAnsi="Tinos"/>
                  <w:b w:val="false"/>
                  <w:bCs w:val="false"/>
                  <w:color w:val="000000"/>
                  <w:sz w:val="28"/>
                  <w:szCs w:val="28"/>
                  <w:shd w:fill="auto" w:val="clear"/>
                </w:rPr>
                <w:t>№ 110</w:t>
              </w:r>
            </w:hyperlink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 xml:space="preserve"> «О проведении аттестации государственных гражданских служащих Российс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auto" w:val="clear"/>
              </w:rPr>
              <w:t xml:space="preserve">кой Федерации», постановлением Правительства Российской Федерации от 09.09.2020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8"/>
                <w:szCs w:val="28"/>
                <w:shd w:fill="auto" w:val="clear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auto" w:val="clear"/>
              </w:rPr>
              <w:t xml:space="preserve"> 1387 «Об утверждении единой методики проведения аттестации государственных гражданских служащих Российской Федерации», Законом Ивановской области от 06.04.2005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sz w:val="28"/>
                <w:szCs w:val="28"/>
                <w:shd w:fill="auto" w:val="clear"/>
                <w:lang w:eastAsia="ru-RU"/>
              </w:rPr>
              <w:t>№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auto" w:val="clear"/>
              </w:rPr>
              <w:t xml:space="preserve"> 69-ОЗ «О государственной гражданской службе Ивановской области», указом Губернатора Ивановской области от 15.07.2021 № 108-уг                 </w:t>
            </w:r>
            <w:r>
              <w:rPr>
                <w:rFonts w:cs="Times New Roman" w:ascii="Tinos" w:hAnsi="Tinos"/>
                <w:b w:val="false"/>
                <w:color w:val="000000"/>
                <w:sz w:val="28"/>
                <w:szCs w:val="28"/>
                <w:shd w:fill="auto" w:val="clear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Об утверждении Порядка приглашения и отбора независимых экспертов - представителей научных, образовательных и других организаций, включаемых              в составы конкурсных и аттестационных комиссий органов государственной власти (государственных органов) Ивановской области» 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auto" w:val="clear"/>
              </w:rPr>
              <w:t xml:space="preserve">в целях обеспечения эффективности государственной гражданской службы Ивановской области                       и повышения профессионального уровня государственных гражданских служащих Ивановской области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</w:rPr>
              <w:t>п р и к а з ы в а ю: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». </w:t>
            </w:r>
          </w:p>
          <w:p>
            <w:pPr>
              <w:pStyle w:val="ConsPlusTitle"/>
              <w:tabs>
                <w:tab w:val="clear" w:pos="708"/>
                <w:tab w:val="left" w:pos="709" w:leader="none"/>
              </w:tabs>
              <w:spacing w:lineRule="auto" w:line="276"/>
              <w:ind w:left="0" w:right="0" w:firstLine="709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Пункт 1.1 изложить в следующей редакции:</w:t>
            </w:r>
          </w:p>
          <w:p>
            <w:pPr>
              <w:pStyle w:val="ConsPlusTitle"/>
              <w:tabs>
                <w:tab w:val="clear" w:pos="708"/>
                <w:tab w:val="left" w:pos="709" w:leader="none"/>
              </w:tabs>
              <w:spacing w:lineRule="auto" w:line="276"/>
              <w:ind w:left="0" w:right="0" w:firstLine="709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«1.1. Утвердить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п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оложение об аттестационной комиссии комитета Ивановской области по государственной охране объектов культурного наследия (прилагается).». 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</w:t>
              <w:tab/>
              <w:t>В приложении к приказу: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.1. Пункт 1.1 изложить в следующей редакции: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«1.1.  Настоящее Положение регламентирует состав, сроки и порядок работы аттестационной комиссии для проведения аттестации государственных гражданских служащих Ивановской области, замещающих должности государственной гражданской службы Ивановской области в комитете Ивановской области по государственной охране объектов культурного наследия (за исключением государственных гражданских служащих Ивановской области, замещающих на основании срочного служебного контракта должности председателя комитета Ивановско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й 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области по государственной охране объектов культурного наследия Ивановской области и заместителя председателя комитета Ивановской области по государственной охране объектов культурного наследия) (далее — Положение, аттестационная комиссия, гражданские служащие, Комитет).».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.2.</w:t>
              <w:tab/>
              <w:t>Пункт 1.2 изложить в следующей редакции: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«1.2. Аттестационная комиссия в своей деятельности руководствуется Федеральным законом от 27.07.2004 № 79-ФЗ «О государственной гражданской службе Российской Федерации», Указом Президента Российской Федерации                    от 01.02.2005 № 110 «О проведении аттестации государственных гражданских служащих Российской Федерации», постановлением Правительства Российской Федерации от 09.09.2020 № 1387 «Об утверждении единой методики проведения аттестации государственных гражданских служащих Российской Федерации»                   и настоящим Положением.».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.3.</w:t>
              <w:tab/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  <w:shd w:fill="auto" w:val="clear"/>
                <w:lang w:eastAsia="ru-RU"/>
              </w:rPr>
              <w:t>Раздел 2 изложить в следующей редакции: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  <w:shd w:fill="auto" w:val="clear"/>
                <w:lang w:eastAsia="ru-RU"/>
              </w:rPr>
              <w:t>«                          2. Цели деятельности аттестационной комиссии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  <w:shd w:fill="auto" w:val="clear"/>
                <w:lang w:eastAsia="ru-RU"/>
              </w:rPr>
              <w:t xml:space="preserve">2.1. Аттестационная комиссия осуществляет свою деятельность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в целях определения соответствия гражданского служащего замещаемой должности гражданской службы и включает в себя оценку результатов профессиональной служебной деятельности и профессионального уровня гражданского служащего.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2.2. Деятельность аттестационной комиссии призвана способствовать формированию кадрового состава государственной гражданской службы Российской Федерации, повышению профессионального уровня гражданских служащих, решению вопросов, связанных с определением преимущественного права на замещение должности гражданской службы при сокращении должностей гражданской службы в государственном органе, а также вопросов, связанных                   с изменением условий оплаты труда гражданских служащих.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2.3. Результаты аттестации гражданских служащих используются для: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оценки их профессиональной служебной деятельности; стимулирования добросовестного исполнения должностных обязанностей и повышения профессионального уровня;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определения направлений профессионального развития;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определения направлений профессионального роста;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обеспечения обоснованности принимаемых представителем нанимателя решений на основе результатов оценки профессиональной служебной деятельности гражданских служащих;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формирования кадрового резерва для замещения вакантных должностей гражданской службы в порядке должностного роста.». 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.4. В пункте 3.2: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.4.1. В абзаце втором слова «(квалификационного экзамена)» исключить.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.4.2. Абзац третий изложить в следующей редакции: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«- гражданский служащий, уполномоченный по вопросам государственной службы и кадров;».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.4.3.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Абзац четвертый изложить в следующей редакции: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«-</w:t>
              <w:tab/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гражданский служащий (гражданские служащие)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 xml:space="preserve"> структурного подразделения, в котором гражданский служащий, подлежащий аттестации, замещает должность гражданской службы;».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.5. Пункт 3.6 изложить в следующей редакции: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«3.6. Ведущий специалист 3 разряда отдела государственного надзора                  и учета объектов культурного наследия Комитета готовит запрос </w:t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  <w:shd w:fill="auto" w:val="clear"/>
                <w:lang w:eastAsia="ru-RU"/>
              </w:rPr>
              <w:t>представителя нанимателя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 о включении в состав аттестационной комиссии независимых экспертов и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обеспечивает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 его 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направление 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b w:val="false"/>
                <w:sz w:val="28"/>
                <w:szCs w:val="28"/>
                <w:shd w:fill="auto" w:val="clear"/>
                <w:lang w:eastAsia="ru-RU"/>
              </w:rPr>
              <w:t>Аппарат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 Правительства Ивановской области не позднее чем за 45 дней до формирования состав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аттестационной комиссии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(комиссий) 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или изменения 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ее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 состав</w:t>
            </w: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shd w:fill="auto" w:val="clear"/>
                <w:lang w:val="ru-RU" w:eastAsia="ru-RU" w:bidi="ar-SA"/>
              </w:rPr>
              <w:t>а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, в том числе в связи с истечением 3-летнего срока пребывания независимого эксперта в составе аттестационной комиссии (комиссий).». 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 xml:space="preserve">.6. В пункте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shd w:fill="auto" w:val="clear"/>
              </w:rPr>
              <w:t>4.1: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mes New Roman" w:hAnsi="Times New Roman"/>
                <w:b w:val="false"/>
                <w:sz w:val="28"/>
                <w:szCs w:val="28"/>
                <w:shd w:fill="auto" w:val="clear"/>
              </w:rPr>
              <w:t>.6.1. Абзац первый изложить в следующей редакции: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 xml:space="preserve">«4.1.  Работа аттестационной комиссии осуществляется в соответствии                      с графиком проведения аттестации (далее - график аттестации), который ежегодно разрабатывается ведущим специалистом 3 разряда отдела государственного надзора и учета объектов культурного наследия Комитета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с учетом мнения непосредственного руководителя аттестуемого гражданского служащего, даты проведения предыдущей аттестации </w:t>
            </w: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>и утверждается представителем нанимателя            не позднее 25 декабря.».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 w:cs="Times New Roman"/>
                <w:b w:val="false"/>
                <w:b w:val="false"/>
                <w:sz w:val="28"/>
                <w:szCs w:val="28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>3</w:t>
            </w: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>.6.2. После абзаца второго дополнить абзацем следующего содержания: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nos" w:hAnsi="Tinos"/>
                <w:b w:val="false"/>
                <w:sz w:val="28"/>
                <w:szCs w:val="28"/>
                <w:shd w:fill="auto" w:val="clear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наименование государственного органа, подразделения, в которых проводится аттестация;».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3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.7. Пункт 4.8 изложить в следующей редакции: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«4.8. 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После ознакомления с отзывом аттестуемый гражданский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и о своем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профессиональном уровне,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в том числе об участии в мероприятиях                                  по профессиональному развитию,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а также заявление о своем несогласии                            с представленным отзывом или соответствующую пояснительную записку на отзыв непосредственного руководителя.».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 w:cs="Times New Roman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3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.8. Раздел 5 признать утратившим силу.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 w:cs="Times New Roman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3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.9. Пункт 6.2 дополнить абзацем следующего содержания: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 w:cs="Times New Roman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«Аттестуемый гражданский служащий может принять участие в заседании аттестационной комиссии в формате видеоконференции (при наличии технической возможности).».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rFonts w:ascii="Tinos" w:hAnsi="Tinos" w:cs="Times New Roman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3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.10. Пункт 6.5 изложить в следующей редакции:</w:t>
            </w:r>
          </w:p>
          <w:p>
            <w:pPr>
              <w:pStyle w:val="ConsPlusNormal"/>
              <w:widowControl w:val="false"/>
              <w:suppressAutoHyphens w:val="true"/>
              <w:bidi w:val="0"/>
              <w:spacing w:lineRule="auto" w:line="276" w:before="0" w:after="0"/>
              <w:ind w:left="0" w:right="0" w:firstLine="737"/>
              <w:jc w:val="both"/>
              <w:rPr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«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6.5. А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ттестационная комиссия рассматривает представленные документы, заслушивает сообщения аттестуемого гражданского служащего, а в случае необходимости - его непосредственного руководителя о профессиональной служебной деятельности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и профессиональном уровне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гражданского служащего.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both"/>
              <w:rPr>
                <w:shd w:fill="auto" w:val="clear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ab/>
              <w:t xml:space="preserve">Аттестационная комиссия оценивает профессиональную служебную деятельность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и профессиональный уровень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гражданского служащего на основании отзыва с учетом информации, предоставленной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в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едущи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м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 специалист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ом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 3 разряда отдела государственного надзора и учета объектов культурного наследия Комитета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 в выписке, указанной в пункте 4.9 настоящего Положения, а также на основании заслушивания сообщения аттестуемого гражданского служащего,                 в ходе которого членами аттестационной комиссии могут задаваться вопросы, направленные на оценку профессиональной служебной деятельности                           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и профессионального уровня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аттестуемого гражданского служащего. 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both"/>
              <w:rPr>
                <w:rFonts w:ascii="Tinos" w:hAnsi="Tinos"/>
                <w:sz w:val="28"/>
                <w:szCs w:val="28"/>
                <w:shd w:fill="auto" w:val="clear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ab/>
              <w:t>О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бсуждение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профессиональной служебной деятельности, профессионального уровня,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профессиональных и личностных качеств гражданского служащего должно быть объективным и доброжелательным.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both"/>
              <w:rPr>
                <w:rFonts w:ascii="Tinos" w:hAnsi="Tinos"/>
                <w:sz w:val="28"/>
                <w:szCs w:val="28"/>
                <w:shd w:fill="auto" w:val="clear"/>
              </w:rPr>
            </w:pPr>
            <w:r>
              <w:rPr>
                <w:rFonts w:eastAsia="Calibri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en-US" w:bidi="ar-SA"/>
              </w:rPr>
              <w:tab/>
              <w:t>Профессиональная служебная деятельность гражданского служащего оценивается на основе определения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степени 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его участия в решении поставленных перед соответствующим подразделением (государственным органом) задач, сложности выполняемой им работы, ее эффективности и результативности.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ab/>
              <w:t>При этом должны учитываться результаты профессиональной служебной деятельности гражданского служащего, исполнение им должностного регламента, соблюдение гражданским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государственной гражданской службе,  а при аттестации гражданского служащего, наделенного                             организационно-распорядительными полномочиями по отношению к другим гражданским служащим, - также организаторские способности.</w:t>
            </w:r>
          </w:p>
          <w:p>
            <w:pPr>
              <w:pStyle w:val="Normal"/>
              <w:spacing w:lineRule="auto" w:line="276" w:before="0" w:after="0"/>
              <w:ind w:left="0" w:right="0" w:hanging="0"/>
              <w:jc w:val="both"/>
              <w:rPr>
                <w:rFonts w:ascii="Tinos" w:hAnsi="Tinos"/>
                <w:b w:val="false"/>
                <w:b w:val="false"/>
                <w:i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ab/>
              <w:t>Профессиональный уровень гражданского служащего оценивается на основе определения его соответствия квалификационным требованиям                                           к профессиональному уровню, в том числе с учетом результатов его участия                     в мероприятиях по профессиональному развитию.».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0"/>
              <w:ind w:left="0" w:right="0" w:firstLine="737"/>
              <w:jc w:val="both"/>
              <w:rPr>
                <w:shd w:fill="auto" w:val="clear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3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.11. </w:t>
            </w:r>
            <w:r>
              <w:rPr>
                <w:rFonts w:eastAsia="Calibri" w:cs="Times New Roman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en-US" w:bidi="ar-SA"/>
              </w:rPr>
              <w:t>Пункт 6.6 после слов «за аттестационный период» дополнить словами  «и о своем профессиональном уровне».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0"/>
              <w:ind w:left="0" w:right="0" w:firstLine="737"/>
              <w:jc w:val="both"/>
              <w:rPr>
                <w:shd w:fill="auto" w:val="clear"/>
              </w:rPr>
            </w:pPr>
            <w:r>
              <w:rPr>
                <w:rFonts w:eastAsia="Calibri" w:cs="Times New Roman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en-US" w:bidi="ar-SA"/>
              </w:rPr>
              <w:t>3</w:t>
            </w:r>
            <w:r>
              <w:rPr>
                <w:rFonts w:eastAsia="Calibri" w:cs="Times New Roman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en-US" w:bidi="ar-SA"/>
              </w:rPr>
              <w:t>.</w:t>
            </w:r>
            <w:r>
              <w:rPr>
                <w:rFonts w:eastAsia="Calibri" w:cs="Times New Roman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en-US" w:bidi="ar-SA"/>
              </w:rPr>
              <w:t>12. Пункт 6.9 дополнить абзацем следующего содержания: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0"/>
              <w:ind w:left="0" w:right="0" w:firstLine="737"/>
              <w:jc w:val="both"/>
              <w:rPr>
                <w:rFonts w:ascii="Tinos" w:hAnsi="Tinos"/>
                <w:sz w:val="28"/>
                <w:szCs w:val="28"/>
                <w:shd w:fill="auto" w:val="clear"/>
              </w:rPr>
            </w:pPr>
            <w:r>
              <w:rPr>
                <w:rFonts w:eastAsia="Calibri" w:cs="Times New Roman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en-US" w:bidi="ar-SA"/>
              </w:rPr>
              <w:t>«</w:t>
            </w:r>
            <w:r>
              <w:rPr>
                <w:rFonts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По результатам аттестации гражданского служащего аттестационной комиссией может быть рекомендовано направление в приоритетном порядке гражданского служащего для получения дополнительного профессионального образования по программе, направленной на получение профессиональных знаний, необходимых для исполнения должностных обязанностей, а также в целях дальнейшего профессионального развития и должностного роста.». </w:t>
            </w:r>
          </w:p>
          <w:p>
            <w:pPr>
              <w:pStyle w:val="ConsPlusTitle"/>
              <w:spacing w:lineRule="auto" w:line="276"/>
              <w:ind w:left="0" w:right="0" w:firstLine="709"/>
              <w:jc w:val="both"/>
              <w:rPr>
                <w:shd w:fill="auto" w:val="clear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3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.1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3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. Раздел 7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признать утратившим силу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.</w:t>
            </w:r>
          </w:p>
          <w:p>
            <w:pPr>
              <w:pStyle w:val="ConsPlusTitle"/>
              <w:widowControl w:val="false"/>
              <w:spacing w:lineRule="auto" w:line="276" w:before="0" w:after="0"/>
              <w:ind w:left="0" w:right="0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3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.1</w:t>
            </w:r>
            <w:r>
              <w:rPr>
                <w:rFonts w:eastAsia="Times New Roman" w:cs="Times New Roman" w:ascii="Tinos" w:hAnsi="Tinos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shd w:fill="auto" w:val="clear"/>
                <w:lang w:val="ru-RU" w:eastAsia="ru-RU" w:bidi="ar-SA"/>
              </w:rPr>
              <w:t>4.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 xml:space="preserve"> Приложение 2 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к Положению признать утратившим силу</w:t>
            </w:r>
            <w:r>
              <w:rPr>
                <w:rFonts w:cs="Times New Roman" w:ascii="Tinos" w:hAnsi="Tinos"/>
                <w:b w:val="false"/>
                <w:i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.</w:t>
            </w:r>
          </w:p>
        </w:tc>
      </w:tr>
      <w:tr>
        <w:trPr>
          <w:trHeight w:val="365" w:hRule="atLeast"/>
        </w:trPr>
        <w:tc>
          <w:tcPr>
            <w:tcW w:w="10205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before="0" w:after="0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365" w:hRule="atLeast"/>
        </w:trPr>
        <w:tc>
          <w:tcPr>
            <w:tcW w:w="5102" w:type="dxa"/>
            <w:gridSpan w:val="2"/>
            <w:tcBorders/>
            <w:shd w:color="auto" w:fill="auto" w:val="clea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комитета</w:t>
            </w:r>
          </w:p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Ивановской области по государственной охране объектов культурного наследия</w:t>
            </w:r>
          </w:p>
        </w:tc>
        <w:tc>
          <w:tcPr>
            <w:tcW w:w="510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0"/>
              <w:contextualSpacing/>
              <w:jc w:val="righ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ar-SA" w:bidi="ar-SA"/>
              </w:rPr>
              <w:t>М.А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Макаров</w:t>
            </w:r>
          </w:p>
        </w:tc>
      </w:tr>
    </w:tbl>
    <w:p>
      <w:pPr>
        <w:pStyle w:val="Normal"/>
        <w:spacing w:before="0" w:after="0"/>
        <w:contextualSpacing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Bookman Old Style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40a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1">
    <w:name w:val="Heading 1"/>
    <w:basedOn w:val="Normal"/>
    <w:link w:val="10"/>
    <w:uiPriority w:val="1"/>
    <w:qFormat/>
    <w:rsid w:val="009f66dc"/>
    <w:pPr>
      <w:suppressAutoHyphens w:val="false"/>
      <w:spacing w:before="39" w:after="0"/>
      <w:ind w:left="374" w:right="465" w:hanging="0"/>
      <w:jc w:val="center"/>
      <w:outlineLvl w:val="0"/>
    </w:pPr>
    <w:rPr>
      <w:rFonts w:ascii="Bookman Old Style" w:hAnsi="Bookman Old Style" w:eastAsia="Bookman Old Style" w:cs="Bookman Old Style"/>
      <w:sz w:val="27"/>
      <w:szCs w:val="27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f1240a"/>
    <w:rPr>
      <w:rFonts w:ascii="Tahoma" w:hAnsi="Tahoma" w:eastAsia="Times New Roman" w:cs="Tahoma"/>
      <w:sz w:val="16"/>
      <w:szCs w:val="16"/>
      <w:lang w:eastAsia="ar-SA"/>
    </w:rPr>
  </w:style>
  <w:style w:type="character" w:styleId="11" w:customStyle="1">
    <w:name w:val="Табличный Знак1"/>
    <w:link w:val="a4"/>
    <w:qFormat/>
    <w:rsid w:val="00c2076a"/>
    <w:rPr>
      <w:rFonts w:ascii="Arial" w:hAnsi="Arial" w:eastAsia="Times New Roman" w:cs="Arial"/>
      <w:sz w:val="18"/>
      <w:szCs w:val="24"/>
      <w:lang w:eastAsia="ar-SA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sid w:val="00c2076a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5" w:customStyle="1">
    <w:name w:val="Интернет-ссылка"/>
    <w:basedOn w:val="DefaultParagraphFont"/>
    <w:uiPriority w:val="99"/>
    <w:unhideWhenUsed/>
    <w:rsid w:val="006871f9"/>
    <w:rPr>
      <w:color w:val="0000FF" w:themeColor="hyperlink"/>
      <w:u w:val="single"/>
    </w:rPr>
  </w:style>
  <w:style w:type="character" w:styleId="12" w:customStyle="1">
    <w:name w:val="Заголовок 1 Знак"/>
    <w:basedOn w:val="DefaultParagraphFont"/>
    <w:link w:val="1"/>
    <w:uiPriority w:val="1"/>
    <w:qFormat/>
    <w:rsid w:val="009f66dc"/>
    <w:rPr>
      <w:rFonts w:ascii="Bookman Old Style" w:hAnsi="Bookman Old Style" w:eastAsia="Bookman Old Style" w:cs="Bookman Old Style"/>
      <w:sz w:val="27"/>
      <w:szCs w:val="27"/>
    </w:rPr>
  </w:style>
  <w:style w:type="character" w:styleId="Style16" w:customStyle="1">
    <w:name w:val="Название Знак"/>
    <w:basedOn w:val="DefaultParagraphFont"/>
    <w:uiPriority w:val="1"/>
    <w:qFormat/>
    <w:rsid w:val="009f66dc"/>
    <w:rPr>
      <w:rFonts w:ascii="Times New Roman" w:hAnsi="Times New Roman" w:eastAsia="Times New Roman" w:cs="Times New Roman"/>
      <w:sz w:val="36"/>
      <w:szCs w:val="36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Style18" w:customStyle="1">
    <w:name w:val="Нижний колонтитул Знак"/>
    <w:basedOn w:val="DefaultParagraphFont"/>
    <w:uiPriority w:val="99"/>
    <w:qFormat/>
    <w:rsid w:val="00f07281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uiPriority w:val="1"/>
    <w:unhideWhenUsed/>
    <w:qFormat/>
    <w:rsid w:val="00c2076a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f1240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f1240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f1240a"/>
    <w:pPr/>
    <w:rPr>
      <w:rFonts w:ascii="Tahoma" w:hAnsi="Tahoma" w:cs="Tahoma"/>
      <w:sz w:val="16"/>
      <w:szCs w:val="16"/>
    </w:rPr>
  </w:style>
  <w:style w:type="paragraph" w:styleId="Style24" w:customStyle="1">
    <w:name w:val="Таблица Центр"/>
    <w:basedOn w:val="Normal"/>
    <w:autoRedefine/>
    <w:qFormat/>
    <w:rsid w:val="005f2d16"/>
    <w:pPr>
      <w:widowControl/>
      <w:suppressAutoHyphens w:val="false"/>
      <w:spacing w:before="0" w:after="60"/>
      <w:ind w:left="-113" w:right="-113" w:hanging="0"/>
      <w:jc w:val="center"/>
    </w:pPr>
    <w:rPr>
      <w:rFonts w:ascii="Arial" w:hAnsi="Arial"/>
      <w:sz w:val="18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e27743"/>
    <w:pPr>
      <w:spacing w:before="0" w:after="0"/>
      <w:ind w:left="720" w:hanging="0"/>
      <w:contextualSpacing/>
    </w:pPr>
    <w:rPr/>
  </w:style>
  <w:style w:type="paragraph" w:styleId="Style25" w:customStyle="1">
    <w:name w:val="Табличный"/>
    <w:basedOn w:val="Style20"/>
    <w:link w:val="11"/>
    <w:qFormat/>
    <w:rsid w:val="00c2076a"/>
    <w:pPr>
      <w:widowControl/>
      <w:spacing w:lineRule="atLeast" w:line="100" w:before="0" w:after="0"/>
    </w:pPr>
    <w:rPr>
      <w:rFonts w:ascii="Arial" w:hAnsi="Arial" w:cs="Arial"/>
      <w:sz w:val="18"/>
      <w:szCs w:val="24"/>
    </w:rPr>
  </w:style>
  <w:style w:type="paragraph" w:styleId="ConsPlusNormal" w:customStyle="1">
    <w:name w:val="ConsPlusNormal"/>
    <w:qFormat/>
    <w:rsid w:val="0022501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Содержимое таблицы"/>
    <w:basedOn w:val="Normal"/>
    <w:qFormat/>
    <w:rsid w:val="0022501f"/>
    <w:pPr>
      <w:suppressLineNumber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yle27">
    <w:name w:val="Title"/>
    <w:basedOn w:val="Normal"/>
    <w:uiPriority w:val="1"/>
    <w:qFormat/>
    <w:rsid w:val="009f66dc"/>
    <w:pPr>
      <w:suppressAutoHyphens w:val="false"/>
      <w:spacing w:before="1" w:after="0"/>
      <w:ind w:left="345" w:right="465" w:hanging="0"/>
      <w:jc w:val="center"/>
    </w:pPr>
    <w:rPr>
      <w:sz w:val="36"/>
      <w:szCs w:val="36"/>
      <w:lang w:eastAsia="en-US"/>
    </w:rPr>
  </w:style>
  <w:style w:type="paragraph" w:styleId="TableParagraph" w:customStyle="1">
    <w:name w:val="Table Paragraph"/>
    <w:basedOn w:val="Normal"/>
    <w:uiPriority w:val="1"/>
    <w:qFormat/>
    <w:rsid w:val="009f66dc"/>
    <w:pPr>
      <w:suppressAutoHyphens w:val="false"/>
    </w:pPr>
    <w:rPr>
      <w:sz w:val="22"/>
      <w:szCs w:val="22"/>
      <w:lang w:eastAsia="en-US"/>
    </w:rPr>
  </w:style>
  <w:style w:type="paragraph" w:styleId="Style28" w:customStyle="1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f072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0">
    <w:name w:val="Footer"/>
    <w:basedOn w:val="Normal"/>
    <w:uiPriority w:val="99"/>
    <w:unhideWhenUsed/>
    <w:rsid w:val="00f0728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1" w:customStyle="1">
    <w:name w:val="Содержимое врезки"/>
    <w:basedOn w:val="Normal"/>
    <w:qFormat/>
    <w:pPr/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024f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f66d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E82A3DF441F1BA7C1A0F8B9CB5342EDB83FA338216820DA885953108B97CAE3EF50B6756D3FA1EAC8A551D588DQ1s4H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5F39-1A30-4527-A851-7CAE1719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LibreOffice/7.0.6.2$Linux_X86_64 LibreOffice_project/00$Build-2</Application>
  <AppVersion>15.0000</AppVersion>
  <Pages>6</Pages>
  <Words>1292</Words>
  <Characters>10279</Characters>
  <CharactersWithSpaces>12030</CharactersWithSpaces>
  <Paragraphs>69</Paragraphs>
  <Company>Департамент культуры Ивановской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2022-01-27T06:08:00Z</dcterms:created>
  <dc:creator>Federal1</dc:creator>
  <dc:description/>
  <dc:language>ru-RU</dc:language>
  <cp:lastModifiedBy/>
  <cp:lastPrinted>2023-06-01T17:11:55Z</cp:lastPrinted>
  <dcterms:modified xsi:type="dcterms:W3CDTF">2023-06-01T17:21:08Z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