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18B" w:rsidRDefault="00C3018B" w:rsidP="00C3018B">
      <w:pPr>
        <w:pStyle w:val="a8"/>
        <w:spacing w:line="276" w:lineRule="auto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Согласовано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          Утверждено                                                                                                                                                         Председатель комитета Ивановской области                       протоколом № ___ от ___________                                                                                                                       по государственной охране объектов                                    общественного совета при                                                                                                                                          культурного наследия                                                             комитете Ивановской области</w:t>
      </w:r>
    </w:p>
    <w:p w:rsidR="00C3018B" w:rsidRDefault="00C3018B" w:rsidP="00C3018B">
      <w:pPr>
        <w:pStyle w:val="a8"/>
        <w:spacing w:line="276" w:lineRule="auto"/>
        <w:jc w:val="both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по государственной охране объектов</w:t>
      </w:r>
    </w:p>
    <w:p w:rsidR="00C3018B" w:rsidRDefault="00C3018B" w:rsidP="00C3018B">
      <w:pPr>
        <w:pStyle w:val="a8"/>
        <w:spacing w:line="276" w:lineRule="auto"/>
        <w:jc w:val="both"/>
      </w:pPr>
      <w:r>
        <w:rPr>
          <w:rFonts w:ascii="Times New Roman" w:hAnsi="Times New Roman" w:cs="Times New Roman"/>
        </w:rPr>
        <w:t xml:space="preserve">________________ А.А. Макаров                                         культурного наследия                  </w:t>
      </w:r>
    </w:p>
    <w:p w:rsidR="00C3018B" w:rsidRDefault="00C3018B" w:rsidP="00C3018B">
      <w:pPr>
        <w:pStyle w:val="a8"/>
        <w:spacing w:line="276" w:lineRule="auto"/>
        <w:jc w:val="both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28.03.2024</w:t>
      </w:r>
    </w:p>
    <w:p w:rsidR="00C3018B" w:rsidRDefault="00C3018B" w:rsidP="00C3018B">
      <w:pPr>
        <w:pStyle w:val="Firstlineindent"/>
        <w:jc w:val="center"/>
        <w:rPr>
          <w:rFonts w:ascii="Tinos" w:hAnsi="Tinos"/>
          <w:b/>
          <w:bCs/>
          <w:sz w:val="28"/>
          <w:szCs w:val="28"/>
        </w:rPr>
      </w:pPr>
    </w:p>
    <w:p w:rsidR="00C3018B" w:rsidRDefault="00C3018B" w:rsidP="00C3018B">
      <w:pPr>
        <w:pStyle w:val="Firstlineindent"/>
        <w:jc w:val="center"/>
        <w:rPr>
          <w:rFonts w:ascii="Tinos" w:hAnsi="Tinos"/>
          <w:b/>
          <w:bCs/>
          <w:sz w:val="28"/>
          <w:szCs w:val="28"/>
        </w:rPr>
      </w:pPr>
      <w:r>
        <w:rPr>
          <w:rFonts w:ascii="Tinos" w:hAnsi="Tinos"/>
          <w:b/>
          <w:bCs/>
          <w:sz w:val="28"/>
          <w:szCs w:val="28"/>
        </w:rPr>
        <w:t xml:space="preserve">Доклад об </w:t>
      </w:r>
      <w:proofErr w:type="gramStart"/>
      <w:r>
        <w:rPr>
          <w:rFonts w:ascii="Tinos" w:hAnsi="Tinos"/>
          <w:b/>
          <w:bCs/>
          <w:sz w:val="28"/>
          <w:szCs w:val="28"/>
        </w:rPr>
        <w:t>антимонопольном</w:t>
      </w:r>
      <w:proofErr w:type="gramEnd"/>
      <w:r>
        <w:rPr>
          <w:rFonts w:ascii="Tinos" w:hAnsi="Tinos"/>
          <w:b/>
          <w:bCs/>
          <w:sz w:val="28"/>
          <w:szCs w:val="28"/>
        </w:rPr>
        <w:t xml:space="preserve"> </w:t>
      </w:r>
      <w:proofErr w:type="spellStart"/>
      <w:r>
        <w:rPr>
          <w:rFonts w:ascii="Tinos" w:hAnsi="Tinos"/>
          <w:b/>
          <w:bCs/>
          <w:sz w:val="28"/>
          <w:szCs w:val="28"/>
        </w:rPr>
        <w:t>комплаенсе</w:t>
      </w:r>
      <w:proofErr w:type="spellEnd"/>
    </w:p>
    <w:p w:rsidR="00C3018B" w:rsidRDefault="00C3018B" w:rsidP="00C3018B">
      <w:pPr>
        <w:pStyle w:val="Firstlineindent"/>
        <w:jc w:val="center"/>
        <w:rPr>
          <w:rFonts w:ascii="Tinos" w:hAnsi="Tinos"/>
          <w:b/>
          <w:bCs/>
          <w:sz w:val="28"/>
          <w:szCs w:val="28"/>
        </w:rPr>
      </w:pPr>
      <w:r>
        <w:rPr>
          <w:rFonts w:ascii="Tinos" w:hAnsi="Tinos"/>
          <w:b/>
          <w:bCs/>
          <w:sz w:val="28"/>
          <w:szCs w:val="28"/>
        </w:rPr>
        <w:t>в комитете Ивановской области по государственной охране объектов культурного наследия за 2023 год</w:t>
      </w:r>
    </w:p>
    <w:p w:rsidR="00C3018B" w:rsidRDefault="00C3018B" w:rsidP="00C3018B">
      <w:pPr>
        <w:pStyle w:val="Firstlineindent"/>
        <w:jc w:val="center"/>
        <w:rPr>
          <w:rFonts w:ascii="Tinos" w:hAnsi="Tinos"/>
          <w:sz w:val="28"/>
          <w:szCs w:val="28"/>
        </w:rPr>
      </w:pPr>
    </w:p>
    <w:p w:rsidR="00C3018B" w:rsidRDefault="00C3018B" w:rsidP="00C3018B">
      <w:pPr>
        <w:pStyle w:val="a7"/>
        <w:shd w:val="clear" w:color="auto" w:fill="FFFFFF"/>
        <w:spacing w:before="0" w:after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ab/>
        <w:t xml:space="preserve">В соответствии с Указом Президента Российской Федерации от 21.12.2017              № 618 «Об основных направлениях государственной политики по развитию конкуренции»  активное содействие развитию конкуренции в Российской Федерации относится к приоритетным направлениям </w:t>
      </w:r>
      <w:proofErr w:type="gramStart"/>
      <w:r>
        <w:rPr>
          <w:rFonts w:ascii="Tinos" w:hAnsi="Tinos"/>
          <w:sz w:val="28"/>
          <w:szCs w:val="28"/>
        </w:rPr>
        <w:t>деятельности органов исполнительных органов государственной власти субъектов Российской Федерации</w:t>
      </w:r>
      <w:proofErr w:type="gramEnd"/>
      <w:r>
        <w:rPr>
          <w:rFonts w:ascii="Tinos" w:hAnsi="Tinos"/>
          <w:sz w:val="28"/>
          <w:szCs w:val="28"/>
        </w:rPr>
        <w:t>.</w:t>
      </w:r>
    </w:p>
    <w:p w:rsidR="00C3018B" w:rsidRDefault="00C3018B" w:rsidP="00C3018B">
      <w:pPr>
        <w:pStyle w:val="a7"/>
        <w:shd w:val="clear" w:color="auto" w:fill="FFFFFF"/>
        <w:spacing w:before="0" w:after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ab/>
        <w:t>Распоряжением Правительства Российской Федерации от 02.09.2021 № 2424-р утвержден Национальный план («дорожная карта») развития конкуренции                       в Российской Федерации на 2021-2025 годы.</w:t>
      </w:r>
    </w:p>
    <w:p w:rsidR="00C3018B" w:rsidRDefault="00C3018B" w:rsidP="00C3018B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rFonts w:ascii="Tinos" w:hAnsi="Tinos"/>
          <w:sz w:val="28"/>
          <w:szCs w:val="28"/>
        </w:rPr>
        <w:tab/>
      </w:r>
      <w:proofErr w:type="gramStart"/>
      <w:r>
        <w:rPr>
          <w:rFonts w:ascii="Tinos" w:hAnsi="Tinos"/>
          <w:sz w:val="28"/>
          <w:szCs w:val="28"/>
        </w:rPr>
        <w:t xml:space="preserve">В соответствии с распоряжением Правительства Российской Федерации                           от 18.10.2018 № 2258-р «Об утверждении методических рекомендаций по созданию                     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 в комитете принято и действует распоряжение от 12.02.2019                  № 8-о «О системе внутреннего обеспечения соответствия требованиям антимонопольного законодательства (антимонопольном </w:t>
      </w:r>
      <w:proofErr w:type="spellStart"/>
      <w:r>
        <w:rPr>
          <w:rFonts w:ascii="Tinos" w:hAnsi="Tinos"/>
          <w:sz w:val="28"/>
          <w:szCs w:val="28"/>
        </w:rPr>
        <w:t>комплаенсе</w:t>
      </w:r>
      <w:proofErr w:type="spellEnd"/>
      <w:r>
        <w:rPr>
          <w:rFonts w:ascii="Tinos" w:hAnsi="Tinos"/>
          <w:sz w:val="28"/>
          <w:szCs w:val="28"/>
        </w:rPr>
        <w:t>) в комитете Ивановской области по государственной охране объектов культурного наследия».</w:t>
      </w:r>
      <w:proofErr w:type="gramEnd"/>
      <w:r>
        <w:rPr>
          <w:rFonts w:ascii="Tinos" w:hAnsi="Tinos"/>
          <w:sz w:val="28"/>
          <w:szCs w:val="28"/>
        </w:rPr>
        <w:t xml:space="preserve">             В соответствии с указанным распоряжением комитетом осуществляется совокупность правовых и организационных мер, направленных на соблюдение требований антимонопольного законодательства и предупреждение его нарушений. Данная работа осуществляется ответственными должностными лицами комитета,               в том числе, с учетом положений федеральных законов от 26.07.2006 № 135-ФЗ              «О защите конкуренции», от 05.04.2013 № 44-ФЗ «О контрактной системе в сфере закупок товаров, работ, услуг для обеспечения государственных и муниципальных нужд», Кодекса Российской Федерации об административных правонарушениях.</w:t>
      </w:r>
    </w:p>
    <w:p w:rsidR="00C3018B" w:rsidRDefault="00C3018B" w:rsidP="00C3018B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rFonts w:ascii="Tinos" w:hAnsi="Tinos"/>
          <w:color w:val="000000"/>
          <w:sz w:val="28"/>
          <w:szCs w:val="28"/>
        </w:rPr>
        <w:tab/>
        <w:t xml:space="preserve">Цели антимонопольного </w:t>
      </w:r>
      <w:proofErr w:type="spellStart"/>
      <w:r>
        <w:rPr>
          <w:rFonts w:ascii="Tinos" w:hAnsi="Tinos"/>
          <w:color w:val="000000"/>
          <w:sz w:val="28"/>
          <w:szCs w:val="28"/>
        </w:rPr>
        <w:t>комплаенса</w:t>
      </w:r>
      <w:proofErr w:type="spellEnd"/>
      <w:r>
        <w:rPr>
          <w:rFonts w:ascii="Tinos" w:hAnsi="Tinos"/>
          <w:color w:val="000000"/>
          <w:sz w:val="28"/>
          <w:szCs w:val="28"/>
        </w:rPr>
        <w:t xml:space="preserve"> являются обеспечение соответствия деятельности комитета требованиям антимонопольного законодательства, а также  профилактика нарушения требований антимонопольного законодательства                         в деятельности комитета.</w:t>
      </w:r>
    </w:p>
    <w:p w:rsidR="00C3018B" w:rsidRDefault="00C3018B" w:rsidP="00C3018B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rFonts w:ascii="Tinos" w:hAnsi="Tinos"/>
          <w:color w:val="000000"/>
          <w:sz w:val="28"/>
          <w:szCs w:val="28"/>
        </w:rPr>
        <w:tab/>
        <w:t xml:space="preserve">К задачам </w:t>
      </w:r>
      <w:proofErr w:type="gramStart"/>
      <w:r>
        <w:rPr>
          <w:rFonts w:ascii="Tinos" w:hAnsi="Tinos"/>
          <w:color w:val="000000"/>
          <w:sz w:val="28"/>
          <w:szCs w:val="28"/>
        </w:rPr>
        <w:t>антимонопольного</w:t>
      </w:r>
      <w:proofErr w:type="gramEnd"/>
      <w:r>
        <w:rPr>
          <w:rFonts w:ascii="Tinos" w:hAnsi="Tinos"/>
          <w:color w:val="000000"/>
          <w:sz w:val="28"/>
          <w:szCs w:val="28"/>
        </w:rPr>
        <w:t xml:space="preserve"> </w:t>
      </w:r>
      <w:proofErr w:type="spellStart"/>
      <w:r>
        <w:rPr>
          <w:rFonts w:ascii="Tinos" w:hAnsi="Tinos"/>
          <w:color w:val="000000"/>
          <w:sz w:val="28"/>
          <w:szCs w:val="28"/>
        </w:rPr>
        <w:t>комплаенса</w:t>
      </w:r>
      <w:proofErr w:type="spellEnd"/>
      <w:r>
        <w:rPr>
          <w:rFonts w:ascii="Tinos" w:hAnsi="Tinos"/>
          <w:color w:val="000000"/>
          <w:sz w:val="28"/>
          <w:szCs w:val="28"/>
        </w:rPr>
        <w:t xml:space="preserve"> относятся:</w:t>
      </w:r>
    </w:p>
    <w:p w:rsidR="00C3018B" w:rsidRDefault="00C3018B" w:rsidP="00C3018B">
      <w:pPr>
        <w:pStyle w:val="Textbody"/>
        <w:widowControl/>
        <w:shd w:val="clear" w:color="auto" w:fill="FFFFFF"/>
        <w:rPr>
          <w:rFonts w:ascii="Tinos" w:hAnsi="Tinos"/>
          <w:color w:val="000000"/>
          <w:szCs w:val="28"/>
        </w:rPr>
      </w:pPr>
      <w:bookmarkStart w:id="0" w:name="P002D"/>
      <w:bookmarkEnd w:id="0"/>
      <w:r>
        <w:rPr>
          <w:rFonts w:ascii="Tinos" w:hAnsi="Tinos"/>
          <w:color w:val="000000"/>
          <w:szCs w:val="28"/>
        </w:rPr>
        <w:tab/>
        <w:t>а) выявление рисков нарушения антимонопольного законодательства;</w:t>
      </w:r>
    </w:p>
    <w:p w:rsidR="00C3018B" w:rsidRDefault="00C3018B" w:rsidP="00C3018B">
      <w:pPr>
        <w:pStyle w:val="Textbody"/>
        <w:widowControl/>
        <w:shd w:val="clear" w:color="auto" w:fill="FFFFFF"/>
        <w:rPr>
          <w:rFonts w:ascii="Tinos" w:hAnsi="Tinos"/>
          <w:color w:val="000000"/>
          <w:szCs w:val="28"/>
        </w:rPr>
      </w:pPr>
      <w:bookmarkStart w:id="1" w:name="P002F"/>
      <w:bookmarkEnd w:id="1"/>
      <w:r>
        <w:rPr>
          <w:rFonts w:ascii="Tinos" w:hAnsi="Tinos"/>
          <w:color w:val="000000"/>
          <w:szCs w:val="28"/>
        </w:rPr>
        <w:tab/>
        <w:t>б) управление рисками нарушения антимонопольного законодательства;</w:t>
      </w:r>
    </w:p>
    <w:p w:rsidR="00C3018B" w:rsidRDefault="00C3018B" w:rsidP="00C3018B">
      <w:pPr>
        <w:pStyle w:val="Textbody"/>
        <w:widowControl/>
        <w:shd w:val="clear" w:color="auto" w:fill="FFFFFF"/>
        <w:rPr>
          <w:szCs w:val="28"/>
        </w:rPr>
      </w:pPr>
      <w:bookmarkStart w:id="2" w:name="P0031"/>
      <w:bookmarkEnd w:id="2"/>
      <w:r>
        <w:rPr>
          <w:rFonts w:ascii="Tinos" w:hAnsi="Tinos"/>
          <w:color w:val="000000"/>
          <w:szCs w:val="28"/>
        </w:rPr>
        <w:lastRenderedPageBreak/>
        <w:tab/>
        <w:t xml:space="preserve">в) </w:t>
      </w:r>
      <w:proofErr w:type="gramStart"/>
      <w:r>
        <w:rPr>
          <w:rFonts w:ascii="Tinos" w:hAnsi="Tinos"/>
          <w:color w:val="000000"/>
          <w:szCs w:val="28"/>
        </w:rPr>
        <w:t>контроль за</w:t>
      </w:r>
      <w:proofErr w:type="gramEnd"/>
      <w:r>
        <w:rPr>
          <w:rFonts w:ascii="Tinos" w:hAnsi="Tinos"/>
          <w:color w:val="000000"/>
          <w:szCs w:val="28"/>
        </w:rPr>
        <w:t xml:space="preserve"> соответствием деятельности комитета требованиям антимонопольного законодательства;</w:t>
      </w:r>
    </w:p>
    <w:p w:rsidR="00C3018B" w:rsidRDefault="00C3018B" w:rsidP="00C3018B">
      <w:pPr>
        <w:pStyle w:val="Textbody"/>
        <w:widowControl/>
        <w:shd w:val="clear" w:color="auto" w:fill="FFFFFF"/>
        <w:rPr>
          <w:szCs w:val="28"/>
        </w:rPr>
      </w:pPr>
      <w:bookmarkStart w:id="3" w:name="P0033"/>
      <w:bookmarkEnd w:id="3"/>
      <w:r>
        <w:rPr>
          <w:rFonts w:ascii="Tinos" w:hAnsi="Tinos"/>
          <w:color w:val="000000"/>
          <w:szCs w:val="28"/>
        </w:rPr>
        <w:tab/>
        <w:t xml:space="preserve">г) оценка эффективности функционирования в комитете антимонопольного </w:t>
      </w:r>
      <w:proofErr w:type="spellStart"/>
      <w:r>
        <w:rPr>
          <w:rFonts w:ascii="Tinos" w:hAnsi="Tinos"/>
          <w:color w:val="000000"/>
          <w:szCs w:val="28"/>
        </w:rPr>
        <w:t>комплаенса</w:t>
      </w:r>
      <w:proofErr w:type="spellEnd"/>
      <w:r>
        <w:rPr>
          <w:rFonts w:ascii="Tinos" w:hAnsi="Tinos"/>
          <w:color w:val="000000"/>
          <w:szCs w:val="28"/>
        </w:rPr>
        <w:t>.</w:t>
      </w:r>
    </w:p>
    <w:p w:rsidR="00C3018B" w:rsidRDefault="00C3018B" w:rsidP="00C3018B">
      <w:pPr>
        <w:pStyle w:val="Textbody"/>
        <w:widowControl/>
        <w:shd w:val="clear" w:color="auto" w:fill="FFFFFF"/>
        <w:rPr>
          <w:szCs w:val="28"/>
        </w:rPr>
      </w:pPr>
      <w:bookmarkStart w:id="4" w:name="P0035"/>
      <w:bookmarkEnd w:id="4"/>
      <w:r>
        <w:rPr>
          <w:rFonts w:ascii="Tinos" w:hAnsi="Tinos"/>
          <w:color w:val="000000"/>
          <w:szCs w:val="28"/>
        </w:rPr>
        <w:tab/>
        <w:t xml:space="preserve">При организации и реализации </w:t>
      </w:r>
      <w:proofErr w:type="gramStart"/>
      <w:r>
        <w:rPr>
          <w:rFonts w:ascii="Tinos" w:hAnsi="Tinos"/>
          <w:color w:val="000000"/>
          <w:szCs w:val="28"/>
        </w:rPr>
        <w:t>антимонопольного</w:t>
      </w:r>
      <w:proofErr w:type="gramEnd"/>
      <w:r>
        <w:rPr>
          <w:rFonts w:ascii="Tinos" w:hAnsi="Tinos"/>
          <w:color w:val="000000"/>
          <w:szCs w:val="28"/>
        </w:rPr>
        <w:t xml:space="preserve"> </w:t>
      </w:r>
      <w:proofErr w:type="spellStart"/>
      <w:r>
        <w:rPr>
          <w:rFonts w:ascii="Tinos" w:hAnsi="Tinos"/>
          <w:color w:val="000000"/>
          <w:szCs w:val="28"/>
        </w:rPr>
        <w:t>комлаенса</w:t>
      </w:r>
      <w:proofErr w:type="spellEnd"/>
      <w:r>
        <w:rPr>
          <w:rFonts w:ascii="Tinos" w:hAnsi="Tinos"/>
          <w:color w:val="000000"/>
          <w:szCs w:val="28"/>
        </w:rPr>
        <w:t xml:space="preserve"> комитет  руководствуется следующими принципами:</w:t>
      </w:r>
    </w:p>
    <w:p w:rsidR="00C3018B" w:rsidRDefault="00C3018B" w:rsidP="00C3018B">
      <w:pPr>
        <w:pStyle w:val="Textbody"/>
        <w:widowControl/>
        <w:shd w:val="clear" w:color="auto" w:fill="FFFFFF"/>
        <w:rPr>
          <w:rFonts w:ascii="Tinos" w:hAnsi="Tinos"/>
          <w:color w:val="000000"/>
          <w:szCs w:val="28"/>
        </w:rPr>
      </w:pPr>
      <w:bookmarkStart w:id="5" w:name="P0037"/>
      <w:bookmarkEnd w:id="5"/>
      <w:r>
        <w:rPr>
          <w:rFonts w:ascii="Tinos" w:hAnsi="Tinos"/>
          <w:color w:val="000000"/>
          <w:szCs w:val="28"/>
        </w:rPr>
        <w:tab/>
        <w:t>а) заинтересованность руководства;</w:t>
      </w:r>
    </w:p>
    <w:p w:rsidR="00C3018B" w:rsidRDefault="00C3018B" w:rsidP="00C3018B">
      <w:pPr>
        <w:pStyle w:val="Textbody"/>
        <w:widowControl/>
        <w:shd w:val="clear" w:color="auto" w:fill="FFFFFF"/>
        <w:rPr>
          <w:rFonts w:ascii="Tinos" w:hAnsi="Tinos"/>
          <w:color w:val="000000"/>
          <w:szCs w:val="28"/>
        </w:rPr>
      </w:pPr>
      <w:bookmarkStart w:id="6" w:name="P0039"/>
      <w:bookmarkEnd w:id="6"/>
      <w:r>
        <w:rPr>
          <w:rFonts w:ascii="Tinos" w:hAnsi="Tinos"/>
          <w:color w:val="000000"/>
          <w:szCs w:val="28"/>
        </w:rPr>
        <w:tab/>
        <w:t>б) регулярность оценки рисков нарушения антимонопольного законодательства;</w:t>
      </w:r>
    </w:p>
    <w:p w:rsidR="00C3018B" w:rsidRDefault="00C3018B" w:rsidP="00C3018B">
      <w:pPr>
        <w:pStyle w:val="Textbody"/>
        <w:widowControl/>
        <w:shd w:val="clear" w:color="auto" w:fill="FFFFFF"/>
        <w:rPr>
          <w:szCs w:val="28"/>
        </w:rPr>
      </w:pPr>
      <w:bookmarkStart w:id="7" w:name="P003B"/>
      <w:bookmarkEnd w:id="7"/>
      <w:r>
        <w:rPr>
          <w:rFonts w:ascii="Tinos" w:hAnsi="Tinos"/>
          <w:color w:val="000000"/>
          <w:szCs w:val="28"/>
        </w:rPr>
        <w:tab/>
        <w:t xml:space="preserve">в) обеспечение информационной открытости функционирования                              в комитете антимонопольного </w:t>
      </w:r>
      <w:proofErr w:type="spellStart"/>
      <w:r>
        <w:rPr>
          <w:rFonts w:ascii="Tinos" w:hAnsi="Tinos"/>
          <w:color w:val="000000"/>
          <w:szCs w:val="28"/>
        </w:rPr>
        <w:t>комплаенса</w:t>
      </w:r>
      <w:proofErr w:type="spellEnd"/>
      <w:r>
        <w:rPr>
          <w:rFonts w:ascii="Tinos" w:hAnsi="Tinos"/>
          <w:color w:val="000000"/>
          <w:szCs w:val="28"/>
        </w:rPr>
        <w:t>;</w:t>
      </w:r>
    </w:p>
    <w:p w:rsidR="00C3018B" w:rsidRDefault="00C3018B" w:rsidP="00C3018B">
      <w:pPr>
        <w:pStyle w:val="Textbody"/>
        <w:widowControl/>
        <w:shd w:val="clear" w:color="auto" w:fill="FFFFFF"/>
        <w:rPr>
          <w:szCs w:val="28"/>
        </w:rPr>
      </w:pPr>
      <w:bookmarkStart w:id="8" w:name="P003D"/>
      <w:bookmarkEnd w:id="8"/>
      <w:r>
        <w:rPr>
          <w:rFonts w:ascii="Tinos" w:hAnsi="Tinos"/>
          <w:color w:val="000000"/>
          <w:szCs w:val="28"/>
        </w:rPr>
        <w:tab/>
        <w:t xml:space="preserve">г) непрерывность функционирования антимонопольного </w:t>
      </w:r>
      <w:proofErr w:type="spellStart"/>
      <w:r>
        <w:rPr>
          <w:rFonts w:ascii="Tinos" w:hAnsi="Tinos"/>
          <w:color w:val="000000"/>
          <w:szCs w:val="28"/>
        </w:rPr>
        <w:t>комплаенса</w:t>
      </w:r>
      <w:proofErr w:type="spellEnd"/>
      <w:r>
        <w:rPr>
          <w:rFonts w:ascii="Tinos" w:hAnsi="Tinos"/>
          <w:color w:val="000000"/>
          <w:szCs w:val="28"/>
        </w:rPr>
        <w:t xml:space="preserve">                          в комитете;</w:t>
      </w:r>
    </w:p>
    <w:p w:rsidR="00C3018B" w:rsidRDefault="00C3018B" w:rsidP="00C3018B">
      <w:pPr>
        <w:pStyle w:val="Textbody"/>
        <w:widowControl/>
        <w:shd w:val="clear" w:color="auto" w:fill="FFFFFF"/>
        <w:rPr>
          <w:rFonts w:ascii="Tinos" w:hAnsi="Tinos"/>
          <w:color w:val="000000"/>
          <w:szCs w:val="28"/>
        </w:rPr>
      </w:pPr>
      <w:bookmarkStart w:id="9" w:name="P003F"/>
      <w:bookmarkEnd w:id="9"/>
      <w:r>
        <w:rPr>
          <w:rFonts w:ascii="Tinos" w:hAnsi="Tinos"/>
          <w:color w:val="000000"/>
          <w:szCs w:val="28"/>
        </w:rPr>
        <w:tab/>
        <w:t xml:space="preserve">д) совершенствование </w:t>
      </w:r>
      <w:proofErr w:type="gramStart"/>
      <w:r>
        <w:rPr>
          <w:rFonts w:ascii="Tinos" w:hAnsi="Tinos"/>
          <w:color w:val="000000"/>
          <w:szCs w:val="28"/>
        </w:rPr>
        <w:t>антимонопольного</w:t>
      </w:r>
      <w:proofErr w:type="gramEnd"/>
      <w:r>
        <w:rPr>
          <w:rFonts w:ascii="Tinos" w:hAnsi="Tinos"/>
          <w:color w:val="000000"/>
          <w:szCs w:val="28"/>
        </w:rPr>
        <w:t xml:space="preserve"> </w:t>
      </w:r>
      <w:proofErr w:type="spellStart"/>
      <w:r>
        <w:rPr>
          <w:rFonts w:ascii="Tinos" w:hAnsi="Tinos"/>
          <w:color w:val="000000"/>
          <w:szCs w:val="28"/>
        </w:rPr>
        <w:t>комплаенса</w:t>
      </w:r>
      <w:proofErr w:type="spellEnd"/>
      <w:r>
        <w:rPr>
          <w:rFonts w:ascii="Tinos" w:hAnsi="Tinos"/>
          <w:color w:val="000000"/>
          <w:szCs w:val="28"/>
        </w:rPr>
        <w:t>.</w:t>
      </w:r>
    </w:p>
    <w:p w:rsidR="00C3018B" w:rsidRDefault="00C3018B" w:rsidP="00C3018B">
      <w:pPr>
        <w:pStyle w:val="Textbody"/>
        <w:widowControl/>
        <w:shd w:val="clear" w:color="auto" w:fill="FFFFFF"/>
        <w:rPr>
          <w:rFonts w:ascii="Tinos" w:hAnsi="Tinos"/>
          <w:color w:val="000000"/>
          <w:szCs w:val="28"/>
        </w:rPr>
      </w:pPr>
      <w:r>
        <w:rPr>
          <w:rFonts w:ascii="Tinos" w:hAnsi="Tinos"/>
          <w:color w:val="000000"/>
          <w:szCs w:val="28"/>
        </w:rPr>
        <w:tab/>
        <w:t>В целях выявление и исключения рисков нарушения антимонопольного законодательства комитетом проанализировано следующее:</w:t>
      </w:r>
    </w:p>
    <w:p w:rsidR="00C3018B" w:rsidRDefault="00C3018B" w:rsidP="00C3018B">
      <w:pPr>
        <w:pStyle w:val="Textbody"/>
        <w:widowControl/>
        <w:shd w:val="clear" w:color="auto" w:fill="FFFFFF"/>
        <w:rPr>
          <w:rFonts w:ascii="Tinos" w:hAnsi="Tinos"/>
          <w:color w:val="000000"/>
          <w:szCs w:val="28"/>
        </w:rPr>
      </w:pPr>
      <w:r>
        <w:rPr>
          <w:rFonts w:ascii="Tinos" w:hAnsi="Tinos"/>
          <w:color w:val="000000"/>
          <w:szCs w:val="28"/>
        </w:rPr>
        <w:tab/>
        <w:t>1) За период 2021-2023 годов сведения о выявленных в деятельности комитета нарушениях антимонопольного законодательства (наличие предостережений, предупреждений, штрафов, жалоб, возбужденных дел) отсутствуют.</w:t>
      </w:r>
    </w:p>
    <w:p w:rsidR="00C3018B" w:rsidRDefault="00C3018B" w:rsidP="00C3018B">
      <w:pPr>
        <w:pStyle w:val="Textbody"/>
        <w:widowControl/>
        <w:shd w:val="clear" w:color="auto" w:fill="FFFFFF"/>
        <w:rPr>
          <w:rFonts w:ascii="Tinos" w:hAnsi="Tinos"/>
          <w:color w:val="000000"/>
          <w:szCs w:val="28"/>
        </w:rPr>
      </w:pPr>
      <w:r>
        <w:rPr>
          <w:rFonts w:ascii="Tinos" w:hAnsi="Tinos"/>
          <w:color w:val="000000"/>
          <w:szCs w:val="28"/>
        </w:rPr>
        <w:tab/>
        <w:t>Дела по вопросам по вопросам применения и возможного нарушения комитетом антимонопольного законодательства органами судебной системы                    не рассматривались.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rFonts w:ascii="Tinos" w:hAnsi="Tinos"/>
          <w:color w:val="000000"/>
          <w:szCs w:val="28"/>
        </w:rPr>
      </w:pPr>
      <w:r>
        <w:rPr>
          <w:rFonts w:ascii="Tinos" w:hAnsi="Tinos"/>
          <w:color w:val="000000"/>
          <w:szCs w:val="28"/>
        </w:rPr>
        <w:t>2) Целесообразность и (или) необходимость внесения изменений                              в нормативные правовые акты комитета в целях исключения рисков нарушения антимонопольных норм не установлена.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rFonts w:ascii="Tinos" w:hAnsi="Tinos"/>
          <w:color w:val="000000"/>
          <w:szCs w:val="28"/>
        </w:rPr>
      </w:pPr>
      <w:r>
        <w:rPr>
          <w:rFonts w:ascii="Tinos" w:hAnsi="Tinos"/>
          <w:color w:val="000000"/>
          <w:szCs w:val="28"/>
        </w:rPr>
        <w:t>Проекты всех нормативных правовых актов комитета подлежат правовой экспертизе ответственных должностных лиц комитета и размещаются                       на официальном сайте комитета на период 14 календарных дней.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rFonts w:ascii="Tinos" w:hAnsi="Tinos"/>
          <w:color w:val="000000"/>
          <w:szCs w:val="28"/>
        </w:rPr>
      </w:pPr>
      <w:r>
        <w:rPr>
          <w:rFonts w:ascii="Tinos" w:hAnsi="Tinos"/>
          <w:color w:val="000000"/>
          <w:szCs w:val="28"/>
        </w:rPr>
        <w:t>Принятые нормативные правовые акты подлежат официальному опубликованию на сайте Ивановской газеты в сети «Интернет», а также размещению в справочно-правовых системах и на сайте комитета.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rFonts w:ascii="Tinos" w:hAnsi="Tinos"/>
          <w:color w:val="000000"/>
          <w:szCs w:val="28"/>
        </w:rPr>
      </w:pPr>
      <w:r>
        <w:rPr>
          <w:rFonts w:ascii="Tinos" w:hAnsi="Tinos"/>
          <w:color w:val="000000"/>
          <w:szCs w:val="28"/>
        </w:rPr>
        <w:t>Замечаний и предложений по внесению изменений в нормативные правовые акты комитета в части исключения возможных рисков нарушения антимонопольного законодательства от граждан и организаций не поступало.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rFonts w:ascii="Tinos" w:hAnsi="Tinos"/>
          <w:color w:val="000000"/>
          <w:szCs w:val="28"/>
        </w:rPr>
      </w:pPr>
      <w:r>
        <w:rPr>
          <w:rFonts w:ascii="Tinos" w:hAnsi="Tinos"/>
          <w:color w:val="000000"/>
          <w:szCs w:val="28"/>
        </w:rPr>
        <w:t>Действующие нормативные правовые акты подлежат периодическому анализу на предмет соответствия антимонопольному законодательству.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rFonts w:ascii="Tinos" w:hAnsi="Tinos"/>
          <w:color w:val="000000"/>
          <w:szCs w:val="28"/>
        </w:rPr>
      </w:pPr>
      <w:r>
        <w:rPr>
          <w:rFonts w:ascii="Tinos" w:hAnsi="Tinos"/>
          <w:color w:val="000000"/>
          <w:szCs w:val="28"/>
        </w:rPr>
        <w:t>3) Результаты мониторинга применения комитетом антимонопольных норм.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rFonts w:ascii="Tinos" w:hAnsi="Tinos"/>
          <w:color w:val="000000"/>
          <w:szCs w:val="28"/>
        </w:rPr>
      </w:pPr>
      <w:r>
        <w:rPr>
          <w:rFonts w:ascii="Tinos" w:hAnsi="Tinos"/>
          <w:color w:val="000000"/>
          <w:szCs w:val="28"/>
        </w:rPr>
        <w:t>Сбор сведений о работе комитета по данному направлению осуществляется регулярно. Судебная практика, а также практика работы по устранению выявленных самостоятельно либо уполномоченными органами нарушений отсутствий в связи              с  отсутствием фактов нарушений.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rFonts w:ascii="Tinos" w:hAnsi="Tinos"/>
          <w:color w:val="000000"/>
          <w:szCs w:val="28"/>
        </w:rPr>
      </w:pPr>
      <w:r>
        <w:rPr>
          <w:rFonts w:ascii="Tinos" w:hAnsi="Tinos"/>
          <w:color w:val="000000"/>
          <w:szCs w:val="28"/>
        </w:rPr>
        <w:t xml:space="preserve">Проведена работа по реализации утвержденного руководителем комитета 24.12.2022 </w:t>
      </w:r>
      <w:r>
        <w:rPr>
          <w:rFonts w:ascii="Times New Roman" w:hAnsi="Times New Roman" w:cs="Times New Roman"/>
          <w:color w:val="000000"/>
          <w:szCs w:val="28"/>
        </w:rPr>
        <w:t>Плана мероприятий («дорожная карта») по снижению рисков нарушения антимонопольного законодательства на 2023 год. Среди проведенных мероприятий: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rFonts w:ascii="Tinos" w:hAnsi="Tinos"/>
          <w:color w:val="000000"/>
          <w:szCs w:val="28"/>
        </w:rPr>
      </w:pPr>
      <w:r>
        <w:rPr>
          <w:rFonts w:ascii="Tinos" w:hAnsi="Tinos" w:cs="Times New Roman"/>
          <w:color w:val="000000"/>
          <w:szCs w:val="28"/>
        </w:rPr>
        <w:lastRenderedPageBreak/>
        <w:t>-  а</w:t>
      </w:r>
      <w:r>
        <w:rPr>
          <w:rFonts w:ascii="Tinos" w:eastAsia="Calibri" w:hAnsi="Tinos" w:cs="Times New Roman"/>
          <w:color w:val="000000"/>
          <w:kern w:val="0"/>
          <w:szCs w:val="28"/>
          <w:lang w:eastAsia="en-US"/>
        </w:rPr>
        <w:t>нализ действующих правовых актов комитета на предмет соответствия антимонопольному законодательству,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rFonts w:ascii="Tinos" w:hAnsi="Tinos"/>
          <w:color w:val="000000"/>
          <w:szCs w:val="28"/>
        </w:rPr>
      </w:pPr>
      <w:r>
        <w:rPr>
          <w:rFonts w:ascii="Tinos" w:eastAsia="Calibri" w:hAnsi="Tinos" w:cs="Times New Roman"/>
          <w:color w:val="000000"/>
          <w:kern w:val="0"/>
          <w:szCs w:val="28"/>
          <w:lang w:eastAsia="en-US"/>
        </w:rPr>
        <w:t>- мониторинг и анализ практики применения антимонопольного законодательства, остаточных рисков нарушения антимонопольного законодательства,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rFonts w:ascii="Tinos" w:hAnsi="Tinos"/>
          <w:color w:val="000000"/>
          <w:szCs w:val="28"/>
        </w:rPr>
      </w:pPr>
      <w:proofErr w:type="gramStart"/>
      <w:r>
        <w:rPr>
          <w:rFonts w:ascii="Tinos" w:eastAsia="Calibri" w:hAnsi="Tinos" w:cs="Times New Roman"/>
          <w:color w:val="000000"/>
          <w:kern w:val="0"/>
          <w:szCs w:val="28"/>
          <w:lang w:eastAsia="en-US"/>
        </w:rPr>
        <w:t>- анализ выявленных нарушений антимонопольного законодательства                   за предыдущие 3 года (наличие предостережений, предупреждений, штрафов, жалоб, возбужденных дел),</w:t>
      </w:r>
      <w:proofErr w:type="gramEnd"/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rFonts w:ascii="Tinos" w:hAnsi="Tinos"/>
          <w:color w:val="000000"/>
          <w:szCs w:val="28"/>
        </w:rPr>
      </w:pPr>
      <w:r>
        <w:rPr>
          <w:rFonts w:ascii="Tinos" w:eastAsia="Calibri" w:hAnsi="Tinos" w:cs="Times New Roman"/>
          <w:color w:val="000000"/>
          <w:kern w:val="0"/>
          <w:szCs w:val="28"/>
          <w:lang w:eastAsia="en-US"/>
        </w:rPr>
        <w:t>- разработка и утверждение плана мероприятий («дорожная карта»)                           по снижению рисков нарушения антимонопольного законодательства на 2024 год,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rFonts w:ascii="Tinos" w:hAnsi="Tinos"/>
          <w:color w:val="000000"/>
          <w:szCs w:val="28"/>
        </w:rPr>
      </w:pPr>
      <w:r>
        <w:rPr>
          <w:rFonts w:ascii="Tinos" w:eastAsia="Calibri" w:hAnsi="Tinos" w:cs="Times New Roman"/>
          <w:color w:val="000000"/>
          <w:kern w:val="0"/>
          <w:szCs w:val="28"/>
          <w:lang w:eastAsia="en-US"/>
        </w:rPr>
        <w:t>- размещение на официальном сайте в сети «Интернет» плана мероприятий («дорожная карта») по снижению рисков нарушения антимонопольного законодательства  на 2024 год,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rFonts w:ascii="Tinos" w:hAnsi="Tinos"/>
          <w:color w:val="000000"/>
          <w:szCs w:val="28"/>
        </w:rPr>
      </w:pPr>
      <w:r>
        <w:rPr>
          <w:rFonts w:ascii="Tinos" w:eastAsia="Calibri" w:hAnsi="Tinos" w:cs="Times New Roman"/>
          <w:color w:val="000000"/>
          <w:kern w:val="0"/>
          <w:szCs w:val="28"/>
          <w:lang w:eastAsia="en-US"/>
        </w:rPr>
        <w:t>- мониторинг исполнения плана мероприятий («дорожная карта»)                          по снижению рисков нарушения антимонопольного законодательства,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szCs w:val="28"/>
        </w:rPr>
      </w:pPr>
      <w:r>
        <w:rPr>
          <w:rFonts w:ascii="Tinos" w:eastAsia="Calibri" w:hAnsi="Tinos" w:cs="Times New Roman"/>
          <w:color w:val="000000"/>
          <w:kern w:val="0"/>
          <w:szCs w:val="28"/>
          <w:lang w:eastAsia="en-US"/>
        </w:rPr>
        <w:t xml:space="preserve">- подготовка доклада об </w:t>
      </w:r>
      <w:proofErr w:type="gramStart"/>
      <w:r>
        <w:rPr>
          <w:rFonts w:ascii="Tinos" w:eastAsia="Calibri" w:hAnsi="Tinos" w:cs="Times New Roman"/>
          <w:color w:val="000000"/>
          <w:kern w:val="0"/>
          <w:szCs w:val="28"/>
          <w:lang w:eastAsia="en-US"/>
        </w:rPr>
        <w:t>антимонопольном</w:t>
      </w:r>
      <w:proofErr w:type="gramEnd"/>
      <w:r>
        <w:rPr>
          <w:rFonts w:ascii="Tinos" w:eastAsia="Calibri" w:hAnsi="Tinos" w:cs="Times New Roman"/>
          <w:color w:val="000000"/>
          <w:kern w:val="0"/>
          <w:szCs w:val="28"/>
          <w:lang w:eastAsia="en-US"/>
        </w:rPr>
        <w:t xml:space="preserve"> </w:t>
      </w:r>
      <w:proofErr w:type="spellStart"/>
      <w:r>
        <w:rPr>
          <w:rFonts w:ascii="Tinos" w:eastAsia="Calibri" w:hAnsi="Tinos" w:cs="Times New Roman"/>
          <w:color w:val="000000"/>
          <w:kern w:val="0"/>
          <w:szCs w:val="28"/>
          <w:lang w:eastAsia="en-US"/>
        </w:rPr>
        <w:t>комплаенсе</w:t>
      </w:r>
      <w:proofErr w:type="spellEnd"/>
      <w:r>
        <w:rPr>
          <w:rFonts w:ascii="Tinos" w:eastAsia="Calibri" w:hAnsi="Tinos" w:cs="Times New Roman"/>
          <w:color w:val="000000"/>
          <w:kern w:val="0"/>
          <w:szCs w:val="28"/>
          <w:lang w:eastAsia="en-US"/>
        </w:rPr>
        <w:t>.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szCs w:val="28"/>
        </w:rPr>
      </w:pPr>
      <w:r>
        <w:rPr>
          <w:rFonts w:ascii="Times New Roman" w:eastAsia="Calibri" w:hAnsi="Times New Roman" w:cs="Times New Roman"/>
          <w:kern w:val="0"/>
          <w:szCs w:val="28"/>
          <w:lang w:eastAsia="en-US"/>
        </w:rPr>
        <w:t xml:space="preserve">Картой </w:t>
      </w:r>
      <w:proofErr w:type="gramStart"/>
      <w:r>
        <w:rPr>
          <w:rFonts w:ascii="Times New Roman" w:eastAsia="Calibri" w:hAnsi="Times New Roman" w:cs="Times New Roman"/>
          <w:kern w:val="0"/>
          <w:szCs w:val="28"/>
          <w:lang w:eastAsia="en-US"/>
        </w:rPr>
        <w:t>рисков нарушения антимонопольного законодательства комитета Ивановской области</w:t>
      </w:r>
      <w:proofErr w:type="gramEnd"/>
      <w:r>
        <w:rPr>
          <w:rFonts w:ascii="Times New Roman" w:eastAsia="Calibri" w:hAnsi="Times New Roman" w:cs="Times New Roman"/>
          <w:kern w:val="0"/>
          <w:szCs w:val="28"/>
          <w:lang w:eastAsia="en-US"/>
        </w:rPr>
        <w:t xml:space="preserve"> по государственной охране объектов культурного наследия               на 2023 год, утвержденной руководителем комитета 24.12.2022, предусматривались следующие риски: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szCs w:val="28"/>
        </w:rPr>
      </w:pPr>
      <w:r>
        <w:rPr>
          <w:rFonts w:ascii="Times New Roman" w:eastAsia="Calibri" w:hAnsi="Times New Roman" w:cs="Times New Roman"/>
          <w:kern w:val="0"/>
          <w:szCs w:val="28"/>
          <w:lang w:eastAsia="en-US"/>
        </w:rPr>
        <w:t>1. Нарушения при подготовке и принятии нормативных правовых актов (проектов), которые приводят или могут привести к недопущению, ограничению, устранению конкуренции (существенный уровень риска).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szCs w:val="28"/>
        </w:rPr>
      </w:pPr>
      <w:r>
        <w:rPr>
          <w:rFonts w:ascii="Times New Roman" w:eastAsia="Calibri" w:hAnsi="Times New Roman" w:cs="Times New Roman"/>
          <w:kern w:val="0"/>
          <w:szCs w:val="28"/>
          <w:lang w:eastAsia="en-US"/>
        </w:rPr>
        <w:t>2. Нарушения при проведении правовой экспертизы нормативных правовых актов, в том числе проектов на соответствие антимонопольному законодательству (низкий уровень риска).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szCs w:val="28"/>
        </w:rPr>
      </w:pPr>
      <w:r>
        <w:rPr>
          <w:rFonts w:ascii="Times New Roman" w:eastAsia="Calibri" w:hAnsi="Times New Roman" w:cs="Times New Roman"/>
          <w:kern w:val="0"/>
          <w:szCs w:val="28"/>
          <w:lang w:eastAsia="en-US"/>
        </w:rPr>
        <w:t>3. Нарушения при поступлении граждан на государственную гражданскую службу, при организации обучения (повышения квалификации) служащих, при проведении аттестации служащих, при подготовке должностных регламентов (незначительный уровень риска).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szCs w:val="28"/>
        </w:rPr>
      </w:pPr>
      <w:r>
        <w:rPr>
          <w:rFonts w:ascii="Times New Roman" w:eastAsia="Calibri" w:hAnsi="Times New Roman" w:cs="Times New Roman"/>
          <w:kern w:val="0"/>
          <w:szCs w:val="28"/>
          <w:lang w:eastAsia="en-US"/>
        </w:rPr>
        <w:t>За 2023 год ни один из рисков не возникал.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szCs w:val="28"/>
        </w:rPr>
      </w:pPr>
      <w:r>
        <w:rPr>
          <w:rFonts w:ascii="Times New Roman" w:eastAsia="Calibri" w:hAnsi="Times New Roman" w:cs="Times New Roman"/>
          <w:kern w:val="0"/>
          <w:szCs w:val="28"/>
          <w:lang w:eastAsia="en-US"/>
        </w:rPr>
        <w:t xml:space="preserve">Определяющими показателями работы по направления антимонопольного </w:t>
      </w:r>
      <w:proofErr w:type="spellStart"/>
      <w:r>
        <w:rPr>
          <w:rFonts w:ascii="Times New Roman" w:eastAsia="Calibri" w:hAnsi="Times New Roman" w:cs="Times New Roman"/>
          <w:kern w:val="0"/>
          <w:szCs w:val="28"/>
          <w:lang w:eastAsia="en-US"/>
        </w:rPr>
        <w:t>комплаенса</w:t>
      </w:r>
      <w:proofErr w:type="spellEnd"/>
      <w:r>
        <w:rPr>
          <w:rFonts w:ascii="Times New Roman" w:eastAsia="Calibri" w:hAnsi="Times New Roman" w:cs="Times New Roman"/>
          <w:kern w:val="0"/>
          <w:szCs w:val="28"/>
          <w:lang w:eastAsia="en-US"/>
        </w:rPr>
        <w:t xml:space="preserve"> и эффективности функционирования системы мер, направленных                на защиту конкуренции, являются: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szCs w:val="28"/>
        </w:rPr>
      </w:pPr>
      <w:r>
        <w:rPr>
          <w:rFonts w:ascii="Times New Roman" w:eastAsia="Calibri" w:hAnsi="Times New Roman" w:cs="Times New Roman"/>
          <w:kern w:val="0"/>
          <w:szCs w:val="28"/>
          <w:lang w:eastAsia="en-US"/>
        </w:rPr>
        <w:t>- факты выдачи по результатам рассмотрения уполномоченными органами дел о нарушении антимонопольного законодательства предостережений и (или) предписаний,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szCs w:val="28"/>
        </w:rPr>
      </w:pPr>
      <w:r>
        <w:rPr>
          <w:rFonts w:ascii="Times New Roman" w:eastAsia="Calibri" w:hAnsi="Times New Roman" w:cs="Times New Roman"/>
          <w:kern w:val="0"/>
          <w:szCs w:val="28"/>
          <w:lang w:eastAsia="en-US"/>
        </w:rPr>
        <w:t>- наличие обоснованных жалоб на действия и (или) решения комитета, должностных лиц комитета, приводящие к нарушению антимонопольного законодательства, поданные в уполномоченные органы, с учетом вступления в силу решений судов.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szCs w:val="28"/>
        </w:rPr>
      </w:pPr>
      <w:r>
        <w:rPr>
          <w:rFonts w:ascii="Times New Roman" w:eastAsia="Calibri" w:hAnsi="Times New Roman" w:cs="Times New Roman"/>
          <w:kern w:val="0"/>
          <w:szCs w:val="28"/>
          <w:lang w:eastAsia="en-US"/>
        </w:rPr>
        <w:t>Указанные факты за 2023 год отсутствуют.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szCs w:val="28"/>
        </w:rPr>
      </w:pPr>
      <w:r>
        <w:rPr>
          <w:rFonts w:ascii="Times New Roman" w:eastAsia="Calibri" w:hAnsi="Times New Roman" w:cs="Times New Roman"/>
          <w:kern w:val="0"/>
          <w:szCs w:val="28"/>
          <w:lang w:eastAsia="en-US"/>
        </w:rPr>
        <w:t>Нарушений антимонопольного законодательства в 2023 году в деятельности комитета не выявлено.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szCs w:val="28"/>
        </w:rPr>
      </w:pPr>
      <w:r>
        <w:rPr>
          <w:rFonts w:ascii="Times New Roman" w:eastAsia="Calibri" w:hAnsi="Times New Roman" w:cs="Times New Roman"/>
          <w:kern w:val="0"/>
          <w:szCs w:val="28"/>
          <w:lang w:eastAsia="en-US"/>
        </w:rPr>
        <w:lastRenderedPageBreak/>
        <w:t xml:space="preserve">Таким образом, работа по предупреждению рисков нарушения антимонопольного законодательства </w:t>
      </w:r>
      <w:proofErr w:type="gramStart"/>
      <w:r>
        <w:rPr>
          <w:rFonts w:ascii="Times New Roman" w:eastAsia="Calibri" w:hAnsi="Times New Roman" w:cs="Times New Roman"/>
          <w:kern w:val="0"/>
          <w:szCs w:val="28"/>
          <w:lang w:eastAsia="en-US"/>
        </w:rPr>
        <w:t>выполнена в 2023 году выполнена</w:t>
      </w:r>
      <w:proofErr w:type="gramEnd"/>
      <w:r>
        <w:rPr>
          <w:rFonts w:ascii="Times New Roman" w:eastAsia="Calibri" w:hAnsi="Times New Roman" w:cs="Times New Roman"/>
          <w:kern w:val="0"/>
          <w:szCs w:val="28"/>
          <w:lang w:eastAsia="en-US"/>
        </w:rPr>
        <w:t xml:space="preserve"> эффективно.</w:t>
      </w:r>
    </w:p>
    <w:p w:rsidR="00C3018B" w:rsidRDefault="00C3018B" w:rsidP="00C3018B">
      <w:pPr>
        <w:pStyle w:val="Textbody"/>
        <w:widowControl/>
        <w:shd w:val="clear" w:color="auto" w:fill="FFFFFF"/>
        <w:ind w:firstLine="680"/>
        <w:rPr>
          <w:szCs w:val="28"/>
        </w:rPr>
      </w:pPr>
      <w:r>
        <w:rPr>
          <w:rFonts w:ascii="Tinos" w:eastAsia="Calibri" w:hAnsi="Tinos" w:cs="Times New Roman"/>
          <w:kern w:val="0"/>
          <w:szCs w:val="28"/>
          <w:lang w:eastAsia="en-US"/>
        </w:rPr>
        <w:t xml:space="preserve">Реализация </w:t>
      </w:r>
      <w:proofErr w:type="gramStart"/>
      <w:r>
        <w:rPr>
          <w:rFonts w:ascii="Tinos" w:eastAsia="Calibri" w:hAnsi="Tinos" w:cs="Times New Roman"/>
          <w:kern w:val="0"/>
          <w:szCs w:val="28"/>
          <w:lang w:eastAsia="en-US"/>
        </w:rPr>
        <w:t>антимонопольного</w:t>
      </w:r>
      <w:proofErr w:type="gramEnd"/>
      <w:r>
        <w:rPr>
          <w:rFonts w:ascii="Tinos" w:eastAsia="Calibri" w:hAnsi="Tinos" w:cs="Times New Roman"/>
          <w:kern w:val="0"/>
          <w:szCs w:val="28"/>
          <w:lang w:eastAsia="en-US"/>
        </w:rPr>
        <w:t xml:space="preserve"> </w:t>
      </w:r>
      <w:proofErr w:type="spellStart"/>
      <w:r>
        <w:rPr>
          <w:rFonts w:ascii="Tinos" w:eastAsia="Calibri" w:hAnsi="Tinos" w:cs="Times New Roman"/>
          <w:kern w:val="0"/>
          <w:szCs w:val="28"/>
          <w:lang w:eastAsia="en-US"/>
        </w:rPr>
        <w:t>комплаенса</w:t>
      </w:r>
      <w:proofErr w:type="spellEnd"/>
      <w:r>
        <w:rPr>
          <w:rFonts w:ascii="Tinos" w:eastAsia="Calibri" w:hAnsi="Tinos" w:cs="Times New Roman"/>
          <w:kern w:val="0"/>
          <w:szCs w:val="28"/>
          <w:lang w:eastAsia="en-US"/>
        </w:rPr>
        <w:t xml:space="preserve"> продолжается. В конце декабря 2023 года руководителем комитета утверждены карта </w:t>
      </w:r>
      <w:proofErr w:type="gramStart"/>
      <w:r>
        <w:rPr>
          <w:rFonts w:ascii="Tinos" w:eastAsia="Calibri" w:hAnsi="Tinos" w:cs="Times New Roman"/>
          <w:kern w:val="0"/>
          <w:szCs w:val="28"/>
          <w:lang w:eastAsia="en-US"/>
        </w:rPr>
        <w:t>рисков нарушения антимонопольного законодательства комитета Ивановской области</w:t>
      </w:r>
      <w:proofErr w:type="gramEnd"/>
      <w:r>
        <w:rPr>
          <w:rFonts w:ascii="Tinos" w:eastAsia="Calibri" w:hAnsi="Tinos" w:cs="Times New Roman"/>
          <w:kern w:val="0"/>
          <w:szCs w:val="28"/>
          <w:lang w:eastAsia="en-US"/>
        </w:rPr>
        <w:t xml:space="preserve">                                 по государственной охране объектов культурного наследия на 2024 год, а также план мероприятий («дорожная карта») по снижению рисков нарушения антимонопольного законодательства в 2024 году.</w:t>
      </w:r>
    </w:p>
    <w:p w:rsidR="00C3018B" w:rsidRDefault="00C3018B" w:rsidP="00C3018B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rFonts w:ascii="Tinos" w:eastAsia="Calibri" w:hAnsi="Tinos"/>
          <w:kern w:val="0"/>
          <w:sz w:val="28"/>
          <w:szCs w:val="28"/>
          <w:lang w:eastAsia="en-US"/>
        </w:rPr>
        <w:tab/>
      </w:r>
      <w:proofErr w:type="gramStart"/>
      <w:r>
        <w:rPr>
          <w:rFonts w:ascii="Tinos" w:eastAsia="Calibri" w:hAnsi="Tinos"/>
          <w:kern w:val="0"/>
          <w:sz w:val="28"/>
          <w:szCs w:val="28"/>
          <w:lang w:eastAsia="en-US"/>
        </w:rPr>
        <w:t xml:space="preserve">В соответствии с распоряжением Правительства Российской Федерации                           от 18.10.2018 № 2258-р «Об утверждении методических рекомендаций по созданию                     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законодательства», распоряжением комитета от 12.02.2019 № 8-о «О системе внутреннего обеспечения соответствия требованиям антимонопольного законодательства (антимонопольном </w:t>
      </w:r>
      <w:proofErr w:type="spellStart"/>
      <w:r>
        <w:rPr>
          <w:rFonts w:ascii="Tinos" w:eastAsia="Calibri" w:hAnsi="Tinos"/>
          <w:kern w:val="0"/>
          <w:sz w:val="28"/>
          <w:szCs w:val="28"/>
          <w:lang w:eastAsia="en-US"/>
        </w:rPr>
        <w:t>комплаенсе</w:t>
      </w:r>
      <w:proofErr w:type="spellEnd"/>
      <w:r>
        <w:rPr>
          <w:rFonts w:ascii="Tinos" w:eastAsia="Calibri" w:hAnsi="Tinos"/>
          <w:kern w:val="0"/>
          <w:sz w:val="28"/>
          <w:szCs w:val="28"/>
          <w:lang w:eastAsia="en-US"/>
        </w:rPr>
        <w:t>) в комитете Ивановской области по государственной охране объектов культурного наследия» доклад подлежит утверждению общественным советом при</w:t>
      </w:r>
      <w:proofErr w:type="gramEnd"/>
      <w:r>
        <w:rPr>
          <w:rFonts w:ascii="Tinos" w:eastAsia="Calibri" w:hAnsi="Tinos"/>
          <w:kern w:val="0"/>
          <w:sz w:val="28"/>
          <w:szCs w:val="28"/>
          <w:lang w:eastAsia="en-US"/>
        </w:rPr>
        <w:t xml:space="preserve"> </w:t>
      </w:r>
      <w:proofErr w:type="gramStart"/>
      <w:r>
        <w:rPr>
          <w:rFonts w:ascii="Tinos" w:eastAsia="Calibri" w:hAnsi="Tinos"/>
          <w:kern w:val="0"/>
          <w:sz w:val="28"/>
          <w:szCs w:val="28"/>
          <w:lang w:eastAsia="en-US"/>
        </w:rPr>
        <w:t>комитете</w:t>
      </w:r>
      <w:proofErr w:type="gramEnd"/>
      <w:r>
        <w:rPr>
          <w:rFonts w:ascii="Tinos" w:eastAsia="Calibri" w:hAnsi="Tinos"/>
          <w:kern w:val="0"/>
          <w:sz w:val="28"/>
          <w:szCs w:val="28"/>
          <w:lang w:eastAsia="en-US"/>
        </w:rPr>
        <w:t xml:space="preserve"> Ивановской области                           по государственной охране объектов культурного наследия.</w:t>
      </w:r>
      <w:bookmarkStart w:id="10" w:name="_GoBack"/>
      <w:bookmarkEnd w:id="10"/>
    </w:p>
    <w:sectPr w:rsidR="00C3018B">
      <w:headerReference w:type="default" r:id="rId5"/>
      <w:footerReference w:type="default" r:id="rId6"/>
      <w:pgSz w:w="11906" w:h="16838"/>
      <w:pgMar w:top="1134" w:right="567" w:bottom="1134" w:left="1134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ource Han Sans CN Regular">
    <w:altName w:val="Times New Roman"/>
    <w:charset w:val="00"/>
    <w:family w:val="auto"/>
    <w:pitch w:val="variable"/>
  </w:font>
  <w:font w:name="Lohit Devanagari">
    <w:charset w:val="00"/>
    <w:family w:val="auto"/>
    <w:pitch w:val="variable"/>
  </w:font>
  <w:font w:name="PT Astra Serif">
    <w:altName w:val="Times New Roman"/>
    <w:charset w:val="00"/>
    <w:family w:val="roman"/>
    <w:pitch w:val="default"/>
  </w:font>
  <w:font w:name="Tino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0BD" w:rsidRDefault="00C3018B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0BD" w:rsidRDefault="00C3018B">
    <w:pPr>
      <w:pStyle w:val="a3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5E4"/>
    <w:rsid w:val="00B165E4"/>
    <w:rsid w:val="00C3018B"/>
    <w:rsid w:val="00C6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8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ource Han Sans CN Regular" w:hAnsi="Liberation Serif" w:cs="Lohit Devanagari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C3018B"/>
    <w:pPr>
      <w:jc w:val="both"/>
    </w:pPr>
    <w:rPr>
      <w:rFonts w:ascii="PT Astra Serif" w:hAnsi="PT Astra Serif"/>
      <w:sz w:val="28"/>
    </w:rPr>
  </w:style>
  <w:style w:type="paragraph" w:customStyle="1" w:styleId="Firstlineindent">
    <w:name w:val="First line indent"/>
    <w:basedOn w:val="a"/>
    <w:rsid w:val="00C3018B"/>
    <w:pPr>
      <w:ind w:firstLine="709"/>
      <w:jc w:val="both"/>
    </w:pPr>
    <w:rPr>
      <w:rFonts w:ascii="PT Astra Serif" w:hAnsi="PT Astra Serif"/>
      <w:sz w:val="21"/>
    </w:rPr>
  </w:style>
  <w:style w:type="paragraph" w:styleId="a3">
    <w:name w:val="header"/>
    <w:basedOn w:val="a"/>
    <w:link w:val="a4"/>
    <w:rsid w:val="00C3018B"/>
    <w:pPr>
      <w:tabs>
        <w:tab w:val="center" w:pos="4819"/>
        <w:tab w:val="right" w:pos="9638"/>
      </w:tabs>
      <w:jc w:val="center"/>
    </w:pPr>
    <w:rPr>
      <w:rFonts w:ascii="PT Astra Serif" w:hAnsi="PT Astra Serif"/>
      <w:sz w:val="21"/>
    </w:rPr>
  </w:style>
  <w:style w:type="character" w:customStyle="1" w:styleId="a4">
    <w:name w:val="Верхний колонтитул Знак"/>
    <w:basedOn w:val="a0"/>
    <w:link w:val="a3"/>
    <w:rsid w:val="00C3018B"/>
    <w:rPr>
      <w:rFonts w:ascii="PT Astra Serif" w:eastAsia="Source Han Sans CN Regular" w:hAnsi="PT Astra Serif" w:cs="Lohit Devanagari"/>
      <w:kern w:val="3"/>
      <w:sz w:val="21"/>
      <w:szCs w:val="24"/>
      <w:lang w:eastAsia="ru-RU"/>
    </w:rPr>
  </w:style>
  <w:style w:type="paragraph" w:styleId="a5">
    <w:name w:val="footer"/>
    <w:basedOn w:val="a"/>
    <w:link w:val="a6"/>
    <w:rsid w:val="00C3018B"/>
    <w:pPr>
      <w:tabs>
        <w:tab w:val="center" w:pos="4819"/>
        <w:tab w:val="right" w:pos="9638"/>
      </w:tabs>
      <w:jc w:val="center"/>
    </w:pPr>
    <w:rPr>
      <w:rFonts w:ascii="PT Astra Serif" w:hAnsi="PT Astra Serif"/>
      <w:sz w:val="28"/>
    </w:rPr>
  </w:style>
  <w:style w:type="character" w:customStyle="1" w:styleId="a6">
    <w:name w:val="Нижний колонтитул Знак"/>
    <w:basedOn w:val="a0"/>
    <w:link w:val="a5"/>
    <w:rsid w:val="00C3018B"/>
    <w:rPr>
      <w:rFonts w:ascii="PT Astra Serif" w:eastAsia="Source Han Sans CN Regular" w:hAnsi="PT Astra Serif" w:cs="Lohit Devanagari"/>
      <w:kern w:val="3"/>
      <w:sz w:val="28"/>
      <w:szCs w:val="24"/>
      <w:lang w:eastAsia="ru-RU"/>
    </w:rPr>
  </w:style>
  <w:style w:type="paragraph" w:styleId="a7">
    <w:name w:val="Normal (Web)"/>
    <w:basedOn w:val="a"/>
    <w:rsid w:val="00C3018B"/>
    <w:pPr>
      <w:spacing w:before="280" w:after="280"/>
      <w:jc w:val="center"/>
    </w:pPr>
    <w:rPr>
      <w:rFonts w:ascii="Times New Roman" w:eastAsia="Times New Roman" w:hAnsi="Times New Roman" w:cs="Times New Roman"/>
    </w:rPr>
  </w:style>
  <w:style w:type="paragraph" w:styleId="a8">
    <w:name w:val="No Spacing"/>
    <w:rsid w:val="00C3018B"/>
    <w:pPr>
      <w:suppressAutoHyphens/>
      <w:autoSpaceDN w:val="0"/>
      <w:spacing w:after="0" w:line="240" w:lineRule="auto"/>
      <w:textAlignment w:val="baseline"/>
    </w:pPr>
    <w:rPr>
      <w:rFonts w:ascii="Liberation Serif" w:eastAsia="Source Han Sans CN Regular" w:hAnsi="Liberation Serif" w:cs="Lohit Devanagari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8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ource Han Sans CN Regular" w:hAnsi="Liberation Serif" w:cs="Lohit Devanagari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C3018B"/>
    <w:pPr>
      <w:jc w:val="both"/>
    </w:pPr>
    <w:rPr>
      <w:rFonts w:ascii="PT Astra Serif" w:hAnsi="PT Astra Serif"/>
      <w:sz w:val="28"/>
    </w:rPr>
  </w:style>
  <w:style w:type="paragraph" w:customStyle="1" w:styleId="Firstlineindent">
    <w:name w:val="First line indent"/>
    <w:basedOn w:val="a"/>
    <w:rsid w:val="00C3018B"/>
    <w:pPr>
      <w:ind w:firstLine="709"/>
      <w:jc w:val="both"/>
    </w:pPr>
    <w:rPr>
      <w:rFonts w:ascii="PT Astra Serif" w:hAnsi="PT Astra Serif"/>
      <w:sz w:val="21"/>
    </w:rPr>
  </w:style>
  <w:style w:type="paragraph" w:styleId="a3">
    <w:name w:val="header"/>
    <w:basedOn w:val="a"/>
    <w:link w:val="a4"/>
    <w:rsid w:val="00C3018B"/>
    <w:pPr>
      <w:tabs>
        <w:tab w:val="center" w:pos="4819"/>
        <w:tab w:val="right" w:pos="9638"/>
      </w:tabs>
      <w:jc w:val="center"/>
    </w:pPr>
    <w:rPr>
      <w:rFonts w:ascii="PT Astra Serif" w:hAnsi="PT Astra Serif"/>
      <w:sz w:val="21"/>
    </w:rPr>
  </w:style>
  <w:style w:type="character" w:customStyle="1" w:styleId="a4">
    <w:name w:val="Верхний колонтитул Знак"/>
    <w:basedOn w:val="a0"/>
    <w:link w:val="a3"/>
    <w:rsid w:val="00C3018B"/>
    <w:rPr>
      <w:rFonts w:ascii="PT Astra Serif" w:eastAsia="Source Han Sans CN Regular" w:hAnsi="PT Astra Serif" w:cs="Lohit Devanagari"/>
      <w:kern w:val="3"/>
      <w:sz w:val="21"/>
      <w:szCs w:val="24"/>
      <w:lang w:eastAsia="ru-RU"/>
    </w:rPr>
  </w:style>
  <w:style w:type="paragraph" w:styleId="a5">
    <w:name w:val="footer"/>
    <w:basedOn w:val="a"/>
    <w:link w:val="a6"/>
    <w:rsid w:val="00C3018B"/>
    <w:pPr>
      <w:tabs>
        <w:tab w:val="center" w:pos="4819"/>
        <w:tab w:val="right" w:pos="9638"/>
      </w:tabs>
      <w:jc w:val="center"/>
    </w:pPr>
    <w:rPr>
      <w:rFonts w:ascii="PT Astra Serif" w:hAnsi="PT Astra Serif"/>
      <w:sz w:val="28"/>
    </w:rPr>
  </w:style>
  <w:style w:type="character" w:customStyle="1" w:styleId="a6">
    <w:name w:val="Нижний колонтитул Знак"/>
    <w:basedOn w:val="a0"/>
    <w:link w:val="a5"/>
    <w:rsid w:val="00C3018B"/>
    <w:rPr>
      <w:rFonts w:ascii="PT Astra Serif" w:eastAsia="Source Han Sans CN Regular" w:hAnsi="PT Astra Serif" w:cs="Lohit Devanagari"/>
      <w:kern w:val="3"/>
      <w:sz w:val="28"/>
      <w:szCs w:val="24"/>
      <w:lang w:eastAsia="ru-RU"/>
    </w:rPr>
  </w:style>
  <w:style w:type="paragraph" w:styleId="a7">
    <w:name w:val="Normal (Web)"/>
    <w:basedOn w:val="a"/>
    <w:rsid w:val="00C3018B"/>
    <w:pPr>
      <w:spacing w:before="280" w:after="280"/>
      <w:jc w:val="center"/>
    </w:pPr>
    <w:rPr>
      <w:rFonts w:ascii="Times New Roman" w:eastAsia="Times New Roman" w:hAnsi="Times New Roman" w:cs="Times New Roman"/>
    </w:rPr>
  </w:style>
  <w:style w:type="paragraph" w:styleId="a8">
    <w:name w:val="No Spacing"/>
    <w:rsid w:val="00C3018B"/>
    <w:pPr>
      <w:suppressAutoHyphens/>
      <w:autoSpaceDN w:val="0"/>
      <w:spacing w:after="0" w:line="240" w:lineRule="auto"/>
      <w:textAlignment w:val="baseline"/>
    </w:pPr>
    <w:rPr>
      <w:rFonts w:ascii="Liberation Serif" w:eastAsia="Source Han Sans CN Regular" w:hAnsi="Liberation Serif" w:cs="Lohit Devanagari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1550</Words>
  <Characters>8841</Characters>
  <Application>Microsoft Office Word</Application>
  <DocSecurity>0</DocSecurity>
  <Lines>73</Lines>
  <Paragraphs>20</Paragraphs>
  <ScaleCrop>false</ScaleCrop>
  <Company/>
  <LinksUpToDate>false</LinksUpToDate>
  <CharactersWithSpaces>10371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Pam5</dc:creator>
  <cp:keywords/>
  <dc:description/>
  <cp:lastModifiedBy>Pam5</cp:lastModifiedBy>
  <cp:revision>2</cp:revision>
  <dcterms:created xsi:type="dcterms:W3CDTF">2024-03-25T14:46:00Z</dcterms:created>
  <dcterms:modified xsi:type="dcterms:W3CDTF">2024-03-25T14:47:00Z</dcterms:modified>
</cp:coreProperties>
</file>