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5" w:type="dxa"/>
        <w:tblInd w:w="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3"/>
        <w:gridCol w:w="2262"/>
        <w:gridCol w:w="1130"/>
        <w:gridCol w:w="5630"/>
      </w:tblGrid>
      <w:tr w:rsidR="0054351C">
        <w:tc>
          <w:tcPr>
            <w:tcW w:w="3335" w:type="dxa"/>
            <w:gridSpan w:val="2"/>
          </w:tcPr>
          <w:p w:rsidR="0054351C" w:rsidRDefault="0054351C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</w:tc>
        <w:tc>
          <w:tcPr>
            <w:tcW w:w="6760" w:type="dxa"/>
            <w:gridSpan w:val="2"/>
          </w:tcPr>
          <w:p w:rsidR="0054351C" w:rsidRDefault="0003251B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В комитет Ивановской области по государственной охране объектов культурного наследия</w:t>
            </w:r>
          </w:p>
          <w:p w:rsidR="0054351C" w:rsidRDefault="0003251B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______________________________________________</w:t>
            </w:r>
          </w:p>
          <w:p w:rsidR="0054351C" w:rsidRDefault="0003251B">
            <w:pPr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(Уполномоченный орган)</w:t>
            </w:r>
          </w:p>
          <w:p w:rsidR="0054351C" w:rsidRDefault="0003251B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от кого:</w:t>
            </w:r>
          </w:p>
          <w:p w:rsidR="0054351C" w:rsidRDefault="0003251B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_____________________________________________</w:t>
            </w:r>
          </w:p>
          <w:p w:rsidR="0054351C" w:rsidRDefault="0003251B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_____________________________________________</w:t>
            </w:r>
          </w:p>
          <w:p w:rsidR="0054351C" w:rsidRDefault="0003251B">
            <w:pPr>
              <w:jc w:val="both"/>
              <w:rPr>
                <w:rFonts w:ascii="Tinos" w:hAnsi="Tinos"/>
                <w:sz w:val="28"/>
                <w:szCs w:val="28"/>
              </w:rPr>
            </w:pPr>
            <w:proofErr w:type="gramStart"/>
            <w:r>
              <w:rPr>
                <w:rFonts w:ascii="Tinos" w:hAnsi="Tinos"/>
                <w:sz w:val="28"/>
                <w:szCs w:val="28"/>
              </w:rPr>
              <w:t>(для физических лиц: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>ФИО, наименование документа, удостоверяющего личность, серия, номер, дата выдачи, кем выдан, телефон, электронная почта.</w:t>
            </w:r>
            <w:proofErr w:type="gramEnd"/>
          </w:p>
          <w:p w:rsidR="0054351C" w:rsidRDefault="0003251B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Для представителя: дополнительно документ, подтверждающий полномочия представителя.</w:t>
            </w:r>
          </w:p>
          <w:p w:rsidR="0054351C" w:rsidRDefault="0003251B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Для ИП: дополнительно ОГРНИП, ИНН.</w:t>
            </w:r>
          </w:p>
          <w:p w:rsidR="0054351C" w:rsidRDefault="0003251B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Для юридического лица: полное наименование, организационно-правовая форма, ИНН, ОГРН)</w:t>
            </w:r>
          </w:p>
        </w:tc>
      </w:tr>
      <w:tr w:rsidR="0054351C">
        <w:tc>
          <w:tcPr>
            <w:tcW w:w="10095" w:type="dxa"/>
            <w:gridSpan w:val="4"/>
          </w:tcPr>
          <w:p w:rsidR="0054351C" w:rsidRDefault="0054351C">
            <w:pPr>
              <w:jc w:val="center"/>
              <w:rPr>
                <w:rFonts w:ascii="Tinos" w:hAnsi="Tinos"/>
                <w:sz w:val="28"/>
                <w:szCs w:val="28"/>
              </w:rPr>
            </w:pPr>
          </w:p>
          <w:p w:rsidR="0054351C" w:rsidRDefault="0054351C">
            <w:pPr>
              <w:jc w:val="center"/>
              <w:rPr>
                <w:rFonts w:ascii="Tinos" w:hAnsi="Tinos"/>
                <w:sz w:val="28"/>
                <w:szCs w:val="28"/>
              </w:rPr>
            </w:pPr>
          </w:p>
          <w:p w:rsidR="0054351C" w:rsidRDefault="0003251B">
            <w:pPr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ЗАЯВЛЕНИЕ</w:t>
            </w:r>
          </w:p>
          <w:p w:rsidR="0054351C" w:rsidRDefault="0003251B" w:rsidP="00CD48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proofErr w:type="gramStart"/>
            <w:r>
              <w:rPr>
                <w:rFonts w:ascii="Tinos" w:hAnsi="Tinos"/>
                <w:color w:val="000000"/>
                <w:sz w:val="28"/>
                <w:szCs w:val="28"/>
              </w:rPr>
              <w:t>о выдаче решения о разработке проекта зоны охраны объекта культурного наследия (памятника истории и культуры) народов Российской Федерации, находящегося на территории Ивановской области, проекта единой охранной зоны объектов культурного наследия, единой зоны регулирования застройки и хозяйственной деятельности и единой зоны охраняемого природного ландшафта, находящихся на территории Ивановской области, за исключением проектов зон охраны объекта культурного наследия федерального значения, признанного особо</w:t>
            </w:r>
            <w:proofErr w:type="gramEnd"/>
            <w:r>
              <w:rPr>
                <w:rFonts w:ascii="Tinos" w:hAnsi="Tinos"/>
                <w:color w:val="000000"/>
                <w:sz w:val="28"/>
                <w:szCs w:val="28"/>
              </w:rPr>
              <w:t xml:space="preserve"> ценным объектом культурного наследия народов Российской Федерации или включенного в Список всемирного наследия, или объединенных зон охраны, включающих такие объекты</w:t>
            </w:r>
            <w:bookmarkEnd w:id="0"/>
          </w:p>
        </w:tc>
      </w:tr>
      <w:tr w:rsidR="0054351C">
        <w:tc>
          <w:tcPr>
            <w:tcW w:w="10095" w:type="dxa"/>
            <w:gridSpan w:val="4"/>
          </w:tcPr>
          <w:p w:rsidR="0054351C" w:rsidRDefault="0054351C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u w:val="single"/>
              </w:rPr>
              <w:t>1. Прошу выдать решение о разработке (отметить нужное)</w:t>
            </w:r>
            <w:r>
              <w:rPr>
                <w:rFonts w:ascii="Tinos" w:hAnsi="Tinos"/>
                <w:sz w:val="28"/>
                <w:szCs w:val="28"/>
              </w:rPr>
              <w:t>:</w:t>
            </w:r>
          </w:p>
          <w:p w:rsidR="0054351C" w:rsidRDefault="0054351C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□ проекта зоны охраны;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□ объединенной зоны охраны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в отношении следующих объектов культурного наследия: ___________________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_____________________________________________________________________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_____________________________________________________________________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(указывается наименование и адрес (описание местоположения) объекта (объектов) культурного наследия)</w:t>
            </w:r>
          </w:p>
          <w:p w:rsidR="0054351C" w:rsidRDefault="0054351C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u w:val="single"/>
              </w:rPr>
              <w:t xml:space="preserve">в целях (отметить </w:t>
            </w:r>
            <w:proofErr w:type="gramStart"/>
            <w:r>
              <w:rPr>
                <w:rFonts w:ascii="Tinos" w:hAnsi="Tinos"/>
                <w:sz w:val="28"/>
                <w:szCs w:val="28"/>
                <w:u w:val="single"/>
              </w:rPr>
              <w:t>нужное</w:t>
            </w:r>
            <w:proofErr w:type="gramEnd"/>
            <w:r>
              <w:rPr>
                <w:rFonts w:ascii="Tinos" w:hAnsi="Tinos"/>
                <w:sz w:val="28"/>
                <w:szCs w:val="28"/>
                <w:u w:val="single"/>
              </w:rPr>
              <w:t>):</w:t>
            </w:r>
          </w:p>
          <w:p w:rsidR="0054351C" w:rsidRDefault="0054351C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□ установления зон охраны;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 xml:space="preserve">□ изменения установленных зон охраны, объединенных зон охраны и (или) </w:t>
            </w:r>
            <w:r>
              <w:rPr>
                <w:rFonts w:ascii="Tinos" w:hAnsi="Tinos"/>
                <w:sz w:val="28"/>
                <w:szCs w:val="28"/>
              </w:rPr>
              <w:lastRenderedPageBreak/>
              <w:t>принятия решений о прекращении существования указанных зон охраны, объединенных зон охраны</w:t>
            </w:r>
          </w:p>
          <w:p w:rsidR="0054351C" w:rsidRDefault="0054351C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</w:p>
          <w:p w:rsidR="0054351C" w:rsidRDefault="0003251B">
            <w:pPr>
              <w:ind w:firstLine="283"/>
              <w:jc w:val="both"/>
              <w:rPr>
                <w:u w:val="single"/>
              </w:rPr>
            </w:pPr>
            <w:r>
              <w:rPr>
                <w:rFonts w:ascii="Tinos" w:hAnsi="Tinos"/>
                <w:sz w:val="28"/>
                <w:szCs w:val="28"/>
                <w:u w:val="single"/>
              </w:rPr>
              <w:t xml:space="preserve">в связи с (отметить </w:t>
            </w:r>
            <w:proofErr w:type="gramStart"/>
            <w:r>
              <w:rPr>
                <w:rFonts w:ascii="Tinos" w:hAnsi="Tinos"/>
                <w:sz w:val="28"/>
                <w:szCs w:val="28"/>
                <w:u w:val="single"/>
              </w:rPr>
              <w:t>нужное</w:t>
            </w:r>
            <w:proofErr w:type="gramEnd"/>
            <w:r>
              <w:rPr>
                <w:rFonts w:ascii="Tinos" w:hAnsi="Tinos"/>
                <w:sz w:val="28"/>
                <w:szCs w:val="28"/>
                <w:u w:val="single"/>
              </w:rPr>
              <w:t>):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□ отнесением объекта, расположенного в границах зоны охраны, объединенной зоны охраны по адресу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к объектам культурного наследия, выявленным объектам культурного наследия;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 xml:space="preserve">□ изменением (утверждением) предмета охраны объекта культурного наследия в части облика и объемно-планировочных решений объекта культурного наследия, границ территории объекта культурного наследия, выявленного объекта культурного наследия, расположенного по а д 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>р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е с у _________________________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___________________________________________________;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□ исключением объекта культурного наследия, расположенного в границах объединенной зоны охраны по адресу:_____________________________________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____________________________________________________ , из единого государственного реестра объектов культурного наследия (памятников истории и культуры) народов Российской Федерации;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 xml:space="preserve">□ перемещением объекта культурного наследия, расположенного в границах объединенной зоны охраны по а д 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>р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е с у ___________________________________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_____________________________________________________, подтвержденного актом приемки выполненных работ по сохранению объекта культурного наследия;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 xml:space="preserve"> □ исключением выявленного объекта культурного наследия, расположенного в границах объединенной зоны охраны по адресу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из перечня выявленных объектов культурного наследия.</w:t>
            </w:r>
          </w:p>
          <w:p w:rsidR="0054351C" w:rsidRDefault="0054351C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</w:p>
          <w:p w:rsidR="0054351C" w:rsidRDefault="0054351C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u w:val="single"/>
              </w:rPr>
              <w:t>2. Заявитель относится к следующей категории лиц, которым предоставлено право подать заявление о выдаче разрешения на разработку проекта зоны охраны, объединенной зоны охраны (отметить нужное)</w:t>
            </w:r>
            <w:r>
              <w:rPr>
                <w:rFonts w:ascii="Tinos" w:hAnsi="Tinos"/>
                <w:sz w:val="28"/>
                <w:szCs w:val="28"/>
              </w:rPr>
              <w:t>:</w:t>
            </w:r>
          </w:p>
          <w:p w:rsidR="0054351C" w:rsidRDefault="0054351C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□ собственники или пользователи объектов культурного наследия, правообладатели зданий, строений, сооружений, земельных участков, иного недвижимого имущества, которые расположены в границах зон охраны объектов культурного наследия, защитных зон объекта культурного наследия;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□ общественные объединения, осуществляющие деятельность в сфере сохранения, использования, популяризации и государственной охраны объектов культурного наследия;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□ физические и юридические лица, с которыми заключен договор</w:t>
            </w:r>
            <w:r>
              <w:rPr>
                <w:rFonts w:ascii="Tinos" w:hAnsi="Tinos"/>
                <w:sz w:val="28"/>
                <w:szCs w:val="28"/>
              </w:rPr>
              <w:br/>
              <w:t>о комплексном развитии территории, либо юридические лица, обеспечивающие реализацию решения о комплексном развитии территории, что подтверждается следующими прилагаемыми документами: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1. ______________________________________________________;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2._______________________________________________________;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3. ……………………… .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lastRenderedPageBreak/>
              <w:t>(указывается наименование документа и количество листов)</w:t>
            </w:r>
          </w:p>
          <w:p w:rsidR="0054351C" w:rsidRDefault="0054351C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</w:p>
          <w:p w:rsidR="0054351C" w:rsidRDefault="0054351C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u w:val="single"/>
              </w:rPr>
              <w:t xml:space="preserve">3. Текстовые и (или) графические сведения о композиционных и (или) видовых связях между объектами культурного наследия (отметить </w:t>
            </w:r>
            <w:proofErr w:type="gramStart"/>
            <w:r>
              <w:rPr>
                <w:rFonts w:ascii="Tinos" w:hAnsi="Tinos"/>
                <w:sz w:val="28"/>
                <w:szCs w:val="28"/>
                <w:u w:val="single"/>
              </w:rPr>
              <w:t>нужное</w:t>
            </w:r>
            <w:proofErr w:type="gramEnd"/>
            <w:r>
              <w:rPr>
                <w:rFonts w:ascii="Tinos" w:hAnsi="Tinos"/>
                <w:sz w:val="28"/>
                <w:szCs w:val="28"/>
                <w:u w:val="single"/>
              </w:rPr>
              <w:t>)</w:t>
            </w:r>
            <w:r>
              <w:rPr>
                <w:rFonts w:ascii="Tinos" w:hAnsi="Tinos"/>
                <w:sz w:val="28"/>
                <w:szCs w:val="28"/>
              </w:rPr>
              <w:t>:</w:t>
            </w:r>
          </w:p>
          <w:p w:rsidR="0054351C" w:rsidRDefault="0054351C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□ прилагаются на ______ листах;</w:t>
            </w:r>
          </w:p>
          <w:p w:rsidR="0054351C" w:rsidRDefault="0003251B">
            <w:pPr>
              <w:ind w:firstLine="283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□ в распоряжении заявителя отсутствуют.</w:t>
            </w:r>
          </w:p>
        </w:tc>
      </w:tr>
      <w:tr w:rsidR="0054351C">
        <w:tc>
          <w:tcPr>
            <w:tcW w:w="10095" w:type="dxa"/>
            <w:gridSpan w:val="4"/>
          </w:tcPr>
          <w:p w:rsidR="0054351C" w:rsidRDefault="0054351C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</w:tc>
      </w:tr>
      <w:tr w:rsidR="0054351C">
        <w:tc>
          <w:tcPr>
            <w:tcW w:w="1073" w:type="dxa"/>
          </w:tcPr>
          <w:p w:rsidR="0054351C" w:rsidRDefault="0054351C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</w:tc>
        <w:tc>
          <w:tcPr>
            <w:tcW w:w="3392" w:type="dxa"/>
            <w:gridSpan w:val="2"/>
          </w:tcPr>
          <w:p w:rsidR="0054351C" w:rsidRDefault="0003251B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Подпись ______________</w:t>
            </w:r>
          </w:p>
        </w:tc>
        <w:tc>
          <w:tcPr>
            <w:tcW w:w="5630" w:type="dxa"/>
          </w:tcPr>
          <w:p w:rsidR="0054351C" w:rsidRDefault="0003251B">
            <w:pPr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_____________________________</w:t>
            </w:r>
          </w:p>
          <w:p w:rsidR="0054351C" w:rsidRDefault="0003251B">
            <w:pPr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(расшифровка подписи)</w:t>
            </w:r>
          </w:p>
        </w:tc>
      </w:tr>
      <w:tr w:rsidR="0054351C">
        <w:tc>
          <w:tcPr>
            <w:tcW w:w="1073" w:type="dxa"/>
          </w:tcPr>
          <w:p w:rsidR="0054351C" w:rsidRDefault="0054351C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</w:tc>
        <w:tc>
          <w:tcPr>
            <w:tcW w:w="3392" w:type="dxa"/>
            <w:gridSpan w:val="2"/>
          </w:tcPr>
          <w:p w:rsidR="0054351C" w:rsidRDefault="0003251B">
            <w:pPr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Дата _________________</w:t>
            </w:r>
          </w:p>
        </w:tc>
        <w:tc>
          <w:tcPr>
            <w:tcW w:w="5630" w:type="dxa"/>
          </w:tcPr>
          <w:p w:rsidR="0054351C" w:rsidRDefault="0054351C">
            <w:pPr>
              <w:jc w:val="both"/>
              <w:rPr>
                <w:rFonts w:ascii="Tinos" w:hAnsi="Tinos"/>
                <w:sz w:val="28"/>
                <w:szCs w:val="28"/>
              </w:rPr>
            </w:pPr>
          </w:p>
        </w:tc>
      </w:tr>
    </w:tbl>
    <w:p w:rsidR="0054351C" w:rsidRDefault="0054351C" w:rsidP="00072CDE">
      <w:pPr>
        <w:tabs>
          <w:tab w:val="left" w:pos="709"/>
        </w:tabs>
        <w:jc w:val="both"/>
        <w:rPr>
          <w:rFonts w:ascii="Tinos" w:hAnsi="Tinos"/>
          <w:sz w:val="28"/>
          <w:szCs w:val="28"/>
        </w:rPr>
      </w:pPr>
    </w:p>
    <w:sectPr w:rsidR="0054351C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1C"/>
    <w:rsid w:val="0003251B"/>
    <w:rsid w:val="00072CDE"/>
    <w:rsid w:val="000B6EF1"/>
    <w:rsid w:val="00146C39"/>
    <w:rsid w:val="0034439B"/>
    <w:rsid w:val="00400EED"/>
    <w:rsid w:val="0054351C"/>
    <w:rsid w:val="00876A0E"/>
    <w:rsid w:val="00C12CB2"/>
    <w:rsid w:val="00C71C5C"/>
    <w:rsid w:val="00CD48A1"/>
    <w:rsid w:val="00D232B4"/>
    <w:rsid w:val="00F00B83"/>
    <w:rsid w:val="00F3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uiPriority w:val="1"/>
    <w:qFormat/>
    <w:rsid w:val="009F66DC"/>
    <w:pPr>
      <w:suppressAutoHyphens w:val="0"/>
      <w:spacing w:before="39"/>
      <w:ind w:left="374" w:right="465"/>
      <w:jc w:val="center"/>
      <w:outlineLvl w:val="0"/>
    </w:pPr>
    <w:rPr>
      <w:rFonts w:ascii="Bookman Old Style" w:eastAsia="Bookman Old Style" w:hAnsi="Bookman Old Style" w:cs="Bookman Old Style"/>
      <w:sz w:val="27"/>
      <w:szCs w:val="27"/>
      <w:lang w:eastAsia="en-US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Табличный Знак1"/>
    <w:link w:val="a6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7">
    <w:name w:val="Основной текст Знак"/>
    <w:basedOn w:val="a2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Гиперссылка1"/>
    <w:basedOn w:val="a2"/>
    <w:uiPriority w:val="99"/>
    <w:unhideWhenUsed/>
    <w:qFormat/>
    <w:rsid w:val="006871F9"/>
    <w:rPr>
      <w:color w:val="0000FF" w:themeColor="hyperlink"/>
      <w:u w:val="single"/>
    </w:rPr>
  </w:style>
  <w:style w:type="character" w:customStyle="1" w:styleId="12">
    <w:name w:val="Заголовок 1 Знак"/>
    <w:basedOn w:val="a2"/>
    <w:uiPriority w:val="1"/>
    <w:qFormat/>
    <w:rsid w:val="009F66DC"/>
    <w:rPr>
      <w:rFonts w:ascii="Bookman Old Style" w:eastAsia="Bookman Old Style" w:hAnsi="Bookman Old Style" w:cs="Bookman Old Style"/>
      <w:sz w:val="27"/>
      <w:szCs w:val="27"/>
    </w:rPr>
  </w:style>
  <w:style w:type="character" w:customStyle="1" w:styleId="a8">
    <w:name w:val="Название Знак"/>
    <w:basedOn w:val="a2"/>
    <w:uiPriority w:val="1"/>
    <w:qFormat/>
    <w:rsid w:val="009F66DC"/>
    <w:rPr>
      <w:rFonts w:ascii="Times New Roman" w:eastAsia="Times New Roman" w:hAnsi="Times New Roman" w:cs="Times New Roman"/>
      <w:sz w:val="36"/>
      <w:szCs w:val="36"/>
    </w:rPr>
  </w:style>
  <w:style w:type="character" w:customStyle="1" w:styleId="a9">
    <w:name w:val="Верхний колонтитул Знак"/>
    <w:basedOn w:val="a2"/>
    <w:uiPriority w:val="99"/>
    <w:qFormat/>
    <w:rsid w:val="00F072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2"/>
    <w:uiPriority w:val="99"/>
    <w:qFormat/>
    <w:rsid w:val="00F072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Hyperlink"/>
    <w:rPr>
      <w:color w:val="000080"/>
      <w:u w:val="single"/>
    </w:rPr>
  </w:style>
  <w:style w:type="character" w:styleId="ac">
    <w:name w:val="annotation reference"/>
    <w:basedOn w:val="a2"/>
    <w:uiPriority w:val="99"/>
    <w:semiHidden/>
    <w:unhideWhenUsed/>
    <w:qFormat/>
    <w:rsid w:val="008A2537"/>
    <w:rPr>
      <w:sz w:val="16"/>
      <w:szCs w:val="16"/>
    </w:rPr>
  </w:style>
  <w:style w:type="character" w:customStyle="1" w:styleId="ad">
    <w:name w:val="Текст примечания Знак"/>
    <w:basedOn w:val="a2"/>
    <w:link w:val="ae"/>
    <w:uiPriority w:val="99"/>
    <w:semiHidden/>
    <w:qFormat/>
    <w:rsid w:val="008A25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8A25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uiPriority w:val="1"/>
    <w:unhideWhenUsed/>
    <w:qFormat/>
    <w:rsid w:val="00C2076A"/>
    <w:pPr>
      <w:spacing w:after="120"/>
    </w:pPr>
  </w:style>
  <w:style w:type="paragraph" w:styleId="af1">
    <w:name w:val="List"/>
    <w:basedOn w:val="a1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f4">
    <w:name w:val="No Spacing"/>
    <w:uiPriority w:val="1"/>
    <w:qFormat/>
    <w:rsid w:val="00F1240A"/>
    <w:rPr>
      <w:rFonts w:cs="Times New Roman"/>
    </w:rPr>
  </w:style>
  <w:style w:type="paragraph" w:styleId="af5">
    <w:name w:val="Balloon Text"/>
    <w:basedOn w:val="a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f6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f7">
    <w:name w:val="List Paragraph"/>
    <w:basedOn w:val="a"/>
    <w:uiPriority w:val="1"/>
    <w:qFormat/>
    <w:rsid w:val="00E27743"/>
    <w:pPr>
      <w:ind w:left="720"/>
      <w:contextualSpacing/>
    </w:pPr>
  </w:style>
  <w:style w:type="paragraph" w:customStyle="1" w:styleId="a6">
    <w:name w:val="Табличный"/>
    <w:basedOn w:val="a1"/>
    <w:link w:val="10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8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f9">
    <w:name w:val="Title"/>
    <w:basedOn w:val="a"/>
    <w:uiPriority w:val="1"/>
    <w:qFormat/>
    <w:rsid w:val="009F66DC"/>
    <w:pPr>
      <w:suppressAutoHyphens w:val="0"/>
      <w:spacing w:before="1"/>
      <w:ind w:left="345" w:right="465"/>
      <w:jc w:val="center"/>
    </w:pPr>
    <w:rPr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F66DC"/>
    <w:pPr>
      <w:suppressAutoHyphens w:val="0"/>
    </w:pPr>
    <w:rPr>
      <w:sz w:val="22"/>
      <w:szCs w:val="22"/>
      <w:lang w:eastAsia="en-US"/>
    </w:rPr>
  </w:style>
  <w:style w:type="paragraph" w:customStyle="1" w:styleId="afa">
    <w:name w:val="Верхний и нижний колонтитулы"/>
    <w:basedOn w:val="a"/>
    <w:qFormat/>
  </w:style>
  <w:style w:type="paragraph" w:customStyle="1" w:styleId="afb">
    <w:name w:val="Колонтитул"/>
    <w:basedOn w:val="a"/>
    <w:qFormat/>
  </w:style>
  <w:style w:type="paragraph" w:styleId="afc">
    <w:name w:val="header"/>
    <w:basedOn w:val="a"/>
    <w:uiPriority w:val="99"/>
    <w:unhideWhenUsed/>
    <w:rsid w:val="00F07281"/>
    <w:pPr>
      <w:tabs>
        <w:tab w:val="center" w:pos="4677"/>
        <w:tab w:val="right" w:pos="9355"/>
      </w:tabs>
    </w:pPr>
  </w:style>
  <w:style w:type="paragraph" w:styleId="afd">
    <w:name w:val="footer"/>
    <w:basedOn w:val="a"/>
    <w:uiPriority w:val="99"/>
    <w:unhideWhenUsed/>
    <w:rsid w:val="00F07281"/>
    <w:pPr>
      <w:tabs>
        <w:tab w:val="center" w:pos="4677"/>
        <w:tab w:val="right" w:pos="9355"/>
      </w:tabs>
    </w:pPr>
  </w:style>
  <w:style w:type="paragraph" w:customStyle="1" w:styleId="afe">
    <w:name w:val="Содержимое врезки"/>
    <w:basedOn w:val="a"/>
    <w:qFormat/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f">
    <w:name w:val="Заголовок таблицы"/>
    <w:basedOn w:val="af8"/>
    <w:qFormat/>
    <w:pPr>
      <w:jc w:val="center"/>
    </w:pPr>
    <w:rPr>
      <w:b/>
      <w:bCs/>
    </w:rPr>
  </w:style>
  <w:style w:type="paragraph" w:styleId="aff0">
    <w:name w:val="Normal (Web)"/>
    <w:basedOn w:val="a"/>
    <w:uiPriority w:val="99"/>
    <w:unhideWhenUsed/>
    <w:qFormat/>
    <w:rsid w:val="003D6EBF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qFormat/>
    <w:rsid w:val="008A2537"/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8A2537"/>
    <w:rPr>
      <w:b/>
      <w:bCs/>
    </w:rPr>
  </w:style>
  <w:style w:type="table" w:styleId="aff1">
    <w:name w:val="Table Grid"/>
    <w:basedOn w:val="a3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F66D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uiPriority w:val="1"/>
    <w:qFormat/>
    <w:rsid w:val="009F66DC"/>
    <w:pPr>
      <w:suppressAutoHyphens w:val="0"/>
      <w:spacing w:before="39"/>
      <w:ind w:left="374" w:right="465"/>
      <w:jc w:val="center"/>
      <w:outlineLvl w:val="0"/>
    </w:pPr>
    <w:rPr>
      <w:rFonts w:ascii="Bookman Old Style" w:eastAsia="Bookman Old Style" w:hAnsi="Bookman Old Style" w:cs="Bookman Old Style"/>
      <w:sz w:val="27"/>
      <w:szCs w:val="27"/>
      <w:lang w:eastAsia="en-US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Табличный Знак1"/>
    <w:link w:val="a6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7">
    <w:name w:val="Основной текст Знак"/>
    <w:basedOn w:val="a2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Гиперссылка1"/>
    <w:basedOn w:val="a2"/>
    <w:uiPriority w:val="99"/>
    <w:unhideWhenUsed/>
    <w:qFormat/>
    <w:rsid w:val="006871F9"/>
    <w:rPr>
      <w:color w:val="0000FF" w:themeColor="hyperlink"/>
      <w:u w:val="single"/>
    </w:rPr>
  </w:style>
  <w:style w:type="character" w:customStyle="1" w:styleId="12">
    <w:name w:val="Заголовок 1 Знак"/>
    <w:basedOn w:val="a2"/>
    <w:uiPriority w:val="1"/>
    <w:qFormat/>
    <w:rsid w:val="009F66DC"/>
    <w:rPr>
      <w:rFonts w:ascii="Bookman Old Style" w:eastAsia="Bookman Old Style" w:hAnsi="Bookman Old Style" w:cs="Bookman Old Style"/>
      <w:sz w:val="27"/>
      <w:szCs w:val="27"/>
    </w:rPr>
  </w:style>
  <w:style w:type="character" w:customStyle="1" w:styleId="a8">
    <w:name w:val="Название Знак"/>
    <w:basedOn w:val="a2"/>
    <w:uiPriority w:val="1"/>
    <w:qFormat/>
    <w:rsid w:val="009F66DC"/>
    <w:rPr>
      <w:rFonts w:ascii="Times New Roman" w:eastAsia="Times New Roman" w:hAnsi="Times New Roman" w:cs="Times New Roman"/>
      <w:sz w:val="36"/>
      <w:szCs w:val="36"/>
    </w:rPr>
  </w:style>
  <w:style w:type="character" w:customStyle="1" w:styleId="a9">
    <w:name w:val="Верхний колонтитул Знак"/>
    <w:basedOn w:val="a2"/>
    <w:uiPriority w:val="99"/>
    <w:qFormat/>
    <w:rsid w:val="00F072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2"/>
    <w:uiPriority w:val="99"/>
    <w:qFormat/>
    <w:rsid w:val="00F072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Hyperlink"/>
    <w:rPr>
      <w:color w:val="000080"/>
      <w:u w:val="single"/>
    </w:rPr>
  </w:style>
  <w:style w:type="character" w:styleId="ac">
    <w:name w:val="annotation reference"/>
    <w:basedOn w:val="a2"/>
    <w:uiPriority w:val="99"/>
    <w:semiHidden/>
    <w:unhideWhenUsed/>
    <w:qFormat/>
    <w:rsid w:val="008A2537"/>
    <w:rPr>
      <w:sz w:val="16"/>
      <w:szCs w:val="16"/>
    </w:rPr>
  </w:style>
  <w:style w:type="character" w:customStyle="1" w:styleId="ad">
    <w:name w:val="Текст примечания Знак"/>
    <w:basedOn w:val="a2"/>
    <w:link w:val="ae"/>
    <w:uiPriority w:val="99"/>
    <w:semiHidden/>
    <w:qFormat/>
    <w:rsid w:val="008A25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8A25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uiPriority w:val="1"/>
    <w:unhideWhenUsed/>
    <w:qFormat/>
    <w:rsid w:val="00C2076A"/>
    <w:pPr>
      <w:spacing w:after="120"/>
    </w:pPr>
  </w:style>
  <w:style w:type="paragraph" w:styleId="af1">
    <w:name w:val="List"/>
    <w:basedOn w:val="a1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f4">
    <w:name w:val="No Spacing"/>
    <w:uiPriority w:val="1"/>
    <w:qFormat/>
    <w:rsid w:val="00F1240A"/>
    <w:rPr>
      <w:rFonts w:cs="Times New Roman"/>
    </w:rPr>
  </w:style>
  <w:style w:type="paragraph" w:styleId="af5">
    <w:name w:val="Balloon Text"/>
    <w:basedOn w:val="a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f6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f7">
    <w:name w:val="List Paragraph"/>
    <w:basedOn w:val="a"/>
    <w:uiPriority w:val="1"/>
    <w:qFormat/>
    <w:rsid w:val="00E27743"/>
    <w:pPr>
      <w:ind w:left="720"/>
      <w:contextualSpacing/>
    </w:pPr>
  </w:style>
  <w:style w:type="paragraph" w:customStyle="1" w:styleId="a6">
    <w:name w:val="Табличный"/>
    <w:basedOn w:val="a1"/>
    <w:link w:val="10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8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f9">
    <w:name w:val="Title"/>
    <w:basedOn w:val="a"/>
    <w:uiPriority w:val="1"/>
    <w:qFormat/>
    <w:rsid w:val="009F66DC"/>
    <w:pPr>
      <w:suppressAutoHyphens w:val="0"/>
      <w:spacing w:before="1"/>
      <w:ind w:left="345" w:right="465"/>
      <w:jc w:val="center"/>
    </w:pPr>
    <w:rPr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F66DC"/>
    <w:pPr>
      <w:suppressAutoHyphens w:val="0"/>
    </w:pPr>
    <w:rPr>
      <w:sz w:val="22"/>
      <w:szCs w:val="22"/>
      <w:lang w:eastAsia="en-US"/>
    </w:rPr>
  </w:style>
  <w:style w:type="paragraph" w:customStyle="1" w:styleId="afa">
    <w:name w:val="Верхний и нижний колонтитулы"/>
    <w:basedOn w:val="a"/>
    <w:qFormat/>
  </w:style>
  <w:style w:type="paragraph" w:customStyle="1" w:styleId="afb">
    <w:name w:val="Колонтитул"/>
    <w:basedOn w:val="a"/>
    <w:qFormat/>
  </w:style>
  <w:style w:type="paragraph" w:styleId="afc">
    <w:name w:val="header"/>
    <w:basedOn w:val="a"/>
    <w:uiPriority w:val="99"/>
    <w:unhideWhenUsed/>
    <w:rsid w:val="00F07281"/>
    <w:pPr>
      <w:tabs>
        <w:tab w:val="center" w:pos="4677"/>
        <w:tab w:val="right" w:pos="9355"/>
      </w:tabs>
    </w:pPr>
  </w:style>
  <w:style w:type="paragraph" w:styleId="afd">
    <w:name w:val="footer"/>
    <w:basedOn w:val="a"/>
    <w:uiPriority w:val="99"/>
    <w:unhideWhenUsed/>
    <w:rsid w:val="00F07281"/>
    <w:pPr>
      <w:tabs>
        <w:tab w:val="center" w:pos="4677"/>
        <w:tab w:val="right" w:pos="9355"/>
      </w:tabs>
    </w:pPr>
  </w:style>
  <w:style w:type="paragraph" w:customStyle="1" w:styleId="afe">
    <w:name w:val="Содержимое врезки"/>
    <w:basedOn w:val="a"/>
    <w:qFormat/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f">
    <w:name w:val="Заголовок таблицы"/>
    <w:basedOn w:val="af8"/>
    <w:qFormat/>
    <w:pPr>
      <w:jc w:val="center"/>
    </w:pPr>
    <w:rPr>
      <w:b/>
      <w:bCs/>
    </w:rPr>
  </w:style>
  <w:style w:type="paragraph" w:styleId="aff0">
    <w:name w:val="Normal (Web)"/>
    <w:basedOn w:val="a"/>
    <w:uiPriority w:val="99"/>
    <w:unhideWhenUsed/>
    <w:qFormat/>
    <w:rsid w:val="003D6EBF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qFormat/>
    <w:rsid w:val="008A2537"/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8A2537"/>
    <w:rPr>
      <w:b/>
      <w:bCs/>
    </w:rPr>
  </w:style>
  <w:style w:type="table" w:styleId="aff1">
    <w:name w:val="Table Grid"/>
    <w:basedOn w:val="a3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F66D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33CB-C490-4F43-B145-2E472B88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27.07.2010 N 210-ФЗ(ред. от 29.12.2025)"Об организации предоставления государственных и муниципальных услуг"</vt:lpstr>
    </vt:vector>
  </TitlesOfParts>
  <Company>КонсультантПлюс Версия 4025.00.52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27.07.2010 N 210-ФЗ(ред. от 29.12.2025)"Об организации предоставления государственных и муниципальных услуг"</dc:title>
  <dc:creator>Federal1</dc:creator>
  <cp:lastModifiedBy>Pam5</cp:lastModifiedBy>
  <cp:revision>12</cp:revision>
  <cp:lastPrinted>2026-02-06T14:10:00Z</cp:lastPrinted>
  <dcterms:created xsi:type="dcterms:W3CDTF">2026-03-06T07:01:00Z</dcterms:created>
  <dcterms:modified xsi:type="dcterms:W3CDTF">2026-03-11T11:55:00Z</dcterms:modified>
  <dc:language>ru-RU</dc:language>
</cp:coreProperties>
</file>