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80" w:rsidRDefault="009F2F4F">
      <w:pPr>
        <w:widowControl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1F23D37D">
                <wp:simplePos x="0" y="0"/>
                <wp:positionH relativeFrom="column">
                  <wp:posOffset>3171426</wp:posOffset>
                </wp:positionH>
                <wp:positionV relativeFrom="paragraph">
                  <wp:posOffset>-83184</wp:posOffset>
                </wp:positionV>
                <wp:extent cx="3505680" cy="754912"/>
                <wp:effectExtent l="0" t="0" r="0" b="0"/>
                <wp:wrapNone/>
                <wp:docPr id="4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680" cy="7549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041A80" w:rsidRDefault="009F2F4F">
                            <w:pPr>
                              <w:pStyle w:val="af4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Комитет Государственной Думы по культуре Федерального Собрания Российской Федерации</w:t>
                            </w:r>
                          </w:p>
                          <w:p w:rsidR="00041A80" w:rsidRDefault="00041A80">
                            <w:pPr>
                              <w:pStyle w:val="af4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оле 1" o:spid="_x0000_s1027" style="position:absolute;left:0;text-align:left;margin-left:249.7pt;margin-top:-6.55pt;width:276.05pt;height:59.45pt;z-index: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" o:allowincell="f" fillcolor="white [3201]" stroked="f" strokeweight=".5pt">
                <v:textbox>
                  <w:txbxContent>
                    <w:p w:rsidR="00041A80" w:rsidRDefault="009F2F4F">
                      <w:pPr>
                        <w:pStyle w:val="af4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Комитет Государственной Думы по культуре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Федерального Собрания Российской Федерации</w:t>
                      </w:r>
                    </w:p>
                    <w:p w:rsidR="00041A80" w:rsidRDefault="00041A80">
                      <w:pPr>
                        <w:pStyle w:val="af4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9525" distL="0" distR="0" simplePos="0" relativeHeight="7" behindDoc="0" locked="0" layoutInCell="0" allowOverlap="1" wp14:anchorId="724B7D57">
                <wp:simplePos x="0" y="0"/>
                <wp:positionH relativeFrom="column">
                  <wp:posOffset>-129540</wp:posOffset>
                </wp:positionH>
                <wp:positionV relativeFrom="paragraph">
                  <wp:posOffset>-51435</wp:posOffset>
                </wp:positionV>
                <wp:extent cx="3505835" cy="657860"/>
                <wp:effectExtent l="0" t="0" r="0" b="9525"/>
                <wp:wrapNone/>
                <wp:docPr id="6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680" cy="657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041A80" w:rsidRDefault="009F2F4F">
                            <w:pPr>
                              <w:pStyle w:val="af4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Calibri"/>
                                <w:color w:val="000000"/>
                                <w:sz w:val="28"/>
                                <w:szCs w:val="28"/>
                              </w:rPr>
                              <w:t xml:space="preserve">О рассмотрении проекта федерального закона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№ 865066-8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оле 2" path="m0,0l-2147483645,0l-2147483645,-2147483646l0,-2147483646xe" fillcolor="white" stroked="f" o:allowincell="f" style="position:absolute;margin-left:-10.2pt;margin-top:-4.05pt;width:276pt;height:51.75pt;mso-wrap-style:square;v-text-anchor:top" wp14:anchorId="724B7D57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3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eastAsia="Calibri"/>
                          <w:color w:val="000000"/>
                          <w:sz w:val="28"/>
                          <w:szCs w:val="28"/>
                        </w:rPr>
                        <w:t xml:space="preserve">О рассмотрении проекта федерального закона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№ 865066-8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041A80" w:rsidRDefault="00041A80">
      <w:pPr>
        <w:widowControl/>
        <w:jc w:val="both"/>
        <w:rPr>
          <w:sz w:val="28"/>
          <w:szCs w:val="28"/>
        </w:rPr>
      </w:pPr>
    </w:p>
    <w:p w:rsidR="00041A80" w:rsidRDefault="00041A80">
      <w:pPr>
        <w:widowControl/>
        <w:jc w:val="both"/>
        <w:rPr>
          <w:sz w:val="28"/>
          <w:szCs w:val="28"/>
        </w:rPr>
      </w:pPr>
    </w:p>
    <w:p w:rsidR="00041A80" w:rsidRDefault="00041A80">
      <w:pPr>
        <w:widowControl/>
        <w:jc w:val="both"/>
        <w:rPr>
          <w:sz w:val="28"/>
          <w:szCs w:val="28"/>
        </w:rPr>
      </w:pPr>
    </w:p>
    <w:p w:rsidR="00041A80" w:rsidRDefault="00041A80">
      <w:pPr>
        <w:widowControl/>
        <w:jc w:val="both"/>
        <w:rPr>
          <w:sz w:val="28"/>
          <w:szCs w:val="28"/>
        </w:rPr>
      </w:pPr>
    </w:p>
    <w:p w:rsidR="00041A80" w:rsidRDefault="009F2F4F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проект федерального закона № 865066-8 «О внесении изменений  в статью 10 Федерального закона «Об объектах культурного наследия (памятниках истории и культуры) народов Российской Федерации» (о возможности осуществления региональными органами охраны функций, не связанных</w:t>
      </w:r>
      <w:r w:rsidR="002639BC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с сохранением объектов культурного наследия), Правительство Ивановской области сообщает следующее.</w:t>
      </w:r>
    </w:p>
    <w:p w:rsidR="00041A80" w:rsidRDefault="009F2F4F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В резолюции XIII Всероссийского съезда органов охраны памятников истории и культуры 2014 года (г. Брянск) </w:t>
      </w:r>
      <w:r>
        <w:rPr>
          <w:rFonts w:ascii="Times New Roman" w:hAnsi="Times New Roman" w:cs="Times New Roman"/>
          <w:b w:val="0"/>
          <w:bCs w:val="0"/>
          <w:color w:val="auto"/>
        </w:rPr>
        <w:t>органам государственной власти субъектов Российской Федерации было рекомендовано</w:t>
      </w:r>
      <w:r>
        <w:rPr>
          <w:rFonts w:ascii="Times New Roman" w:hAnsi="Times New Roman" w:cs="Times New Roman"/>
          <w:b w:val="0"/>
          <w:color w:val="auto"/>
        </w:rPr>
        <w:t xml:space="preserve"> разработать комплекс правовых, организационных и финансовых мер, направленных на существенное укрепление </w:t>
      </w:r>
      <w:proofErr w:type="gramStart"/>
      <w:r>
        <w:rPr>
          <w:rFonts w:ascii="Times New Roman" w:hAnsi="Times New Roman" w:cs="Times New Roman"/>
          <w:b w:val="0"/>
          <w:color w:val="auto"/>
        </w:rPr>
        <w:t>системы органов охраны объектов культурного наследия</w:t>
      </w:r>
      <w:proofErr w:type="gramEnd"/>
      <w:r>
        <w:rPr>
          <w:rFonts w:ascii="Times New Roman" w:hAnsi="Times New Roman" w:cs="Times New Roman"/>
          <w:b w:val="0"/>
          <w:color w:val="auto"/>
        </w:rPr>
        <w:t xml:space="preserve">. </w:t>
      </w:r>
      <w:proofErr w:type="gramStart"/>
      <w:r>
        <w:rPr>
          <w:rFonts w:ascii="Times New Roman" w:hAnsi="Times New Roman" w:cs="Times New Roman"/>
          <w:b w:val="0"/>
          <w:color w:val="auto"/>
        </w:rPr>
        <w:t>Целью этих мер служило укрепление их кадрового потенциала, материального обеспечения и организационной структуры, с учетом того, что наиболее эффективной является такая система органов исполнительной власти, при которой на орган охраны объектов культурного наследия не возложено исполнение функций в иных отраслях, не связанных напрямую с реализацией полномочий по сохранению, использованию, популяризации и государственной охране объектов культурного наследия.</w:t>
      </w:r>
      <w:proofErr w:type="gramEnd"/>
    </w:p>
    <w:p w:rsidR="00041A80" w:rsidRDefault="009F2F4F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Вопросы, обсуждаемые на этом и предыдущих съездах, принятие </w:t>
      </w:r>
      <w:r>
        <w:rPr>
          <w:rFonts w:ascii="Tinos" w:hAnsi="Tinos"/>
          <w:sz w:val="28"/>
          <w:szCs w:val="28"/>
        </w:rPr>
        <w:t xml:space="preserve">Федерального закона от 22.10.2014 № 315-ФЗ «О внесении изменений в Федеральный закон «Об объектах культурного наследия (памятниках истории и культуры) народов Российской Федерации» и отдельные законодательные акты Российской Федерации» </w:t>
      </w:r>
      <w:r>
        <w:rPr>
          <w:sz w:val="28"/>
          <w:szCs w:val="28"/>
        </w:rPr>
        <w:t>в конечном счете, вылились в масштабную реорганизацию системы органов охраны объектов культурного наследия на региональном уровне, потребовавшей выделения дополнительных средств из бюджетов субъектов Российской</w:t>
      </w:r>
      <w:proofErr w:type="gramEnd"/>
      <w:r>
        <w:rPr>
          <w:sz w:val="28"/>
          <w:szCs w:val="28"/>
        </w:rPr>
        <w:t xml:space="preserve"> Федерации, решения серьезных организационных и кадровых вопросов.</w:t>
      </w:r>
    </w:p>
    <w:p w:rsidR="00041A80" w:rsidRDefault="009F2F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органы охраны объектов культурного наследия субъектов Российской Федерации были выделены в самостоятельные органы исполнительной </w:t>
      </w:r>
      <w:r>
        <w:rPr>
          <w:sz w:val="28"/>
          <w:szCs w:val="28"/>
        </w:rPr>
        <w:lastRenderedPageBreak/>
        <w:t xml:space="preserve">власти или структурные подразделения высших исполнительных органов государственной власти субъектов Российской Федерации. </w:t>
      </w:r>
      <w:proofErr w:type="gramStart"/>
      <w:r>
        <w:rPr>
          <w:sz w:val="28"/>
          <w:szCs w:val="28"/>
        </w:rPr>
        <w:t>Их статус закреплен</w:t>
      </w:r>
      <w:r w:rsidR="002639BC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пункте 2 статьи 10 Федерального закона от 25.06.2002 № 73-ФЗ «Об объектах культурного наследия (памятниках истории и культуры) народов Российской Федерации» (далее – Закон № 73-ФЗ), в соответствии с которым они уполномочены в области сохранения, использования, популяризации и государственной охраны объектов культурного наследия и не наделены функциями, не предусмотренными Законом № 73-ФЗ.</w:t>
      </w:r>
      <w:proofErr w:type="gramEnd"/>
    </w:p>
    <w:p w:rsidR="00041A80" w:rsidRPr="00D64771" w:rsidRDefault="009F2F4F" w:rsidP="00D64771">
      <w:pPr>
        <w:spacing w:line="360" w:lineRule="auto"/>
        <w:ind w:firstLine="709"/>
        <w:jc w:val="both"/>
        <w:rPr>
          <w:sz w:val="28"/>
          <w:szCs w:val="28"/>
        </w:rPr>
      </w:pPr>
      <w:r w:rsidRPr="00D64771">
        <w:rPr>
          <w:sz w:val="28"/>
          <w:szCs w:val="28"/>
        </w:rPr>
        <w:t>Таким образом, Законом № 73-ФЗ закреплено обоснованное положение</w:t>
      </w:r>
      <w:r w:rsidR="002639BC">
        <w:rPr>
          <w:sz w:val="28"/>
          <w:szCs w:val="28"/>
        </w:rPr>
        <w:t xml:space="preserve"> </w:t>
      </w:r>
      <w:r w:rsidRPr="00D64771">
        <w:rPr>
          <w:sz w:val="28"/>
          <w:szCs w:val="28"/>
        </w:rPr>
        <w:t xml:space="preserve">о необходимости создания в системе исполнительных органов государственной власти самостоятельных органов, уполномоченных в области сохранения, использования, популяризации и государственной охраны объектов культурного наследия. </w:t>
      </w:r>
    </w:p>
    <w:p w:rsidR="00041A80" w:rsidRPr="00D64771" w:rsidRDefault="009F2F4F" w:rsidP="00D6477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64771">
        <w:rPr>
          <w:sz w:val="28"/>
          <w:szCs w:val="28"/>
        </w:rPr>
        <w:t>Уполномоченные региональные органы охраны объектов культурного наследия осуществляют значительный объем полномочий, в том числе государственную охрану объектов культурного наследия регионального значения, выявленных объектов культурного наследия, региональный государственный контроль (надзор)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выявленных объектов культурного наследия, согласование проектов генеральных планов, проектов правил землепользования</w:t>
      </w:r>
      <w:proofErr w:type="gramEnd"/>
      <w:r w:rsidR="002639BC">
        <w:rPr>
          <w:sz w:val="28"/>
          <w:szCs w:val="28"/>
        </w:rPr>
        <w:t xml:space="preserve"> </w:t>
      </w:r>
      <w:proofErr w:type="gramStart"/>
      <w:r w:rsidRPr="00D64771">
        <w:rPr>
          <w:sz w:val="28"/>
          <w:szCs w:val="28"/>
        </w:rPr>
        <w:t xml:space="preserve">и застройки, подготовленных применительно к территориям исторических поселений регионального значения, мониторинг объектов культурного наследия, составление актов технического состояния и утверждение охранных обязательств правообладателей объектов культурного наследия, утверждение предметов охраны объектов культурного наследия, границ их территорий, установление зон охраны объектов культурного наследия, взаимодействие с органами государственной регистрации прав и кадастрового учета, правообладателями объектов культурного наследия. </w:t>
      </w:r>
      <w:proofErr w:type="gramEnd"/>
    </w:p>
    <w:p w:rsidR="00041A80" w:rsidRPr="00D64771" w:rsidRDefault="009F2F4F" w:rsidP="00D64771">
      <w:pPr>
        <w:spacing w:line="360" w:lineRule="auto"/>
        <w:ind w:firstLine="709"/>
        <w:jc w:val="both"/>
        <w:rPr>
          <w:sz w:val="28"/>
          <w:szCs w:val="28"/>
        </w:rPr>
      </w:pPr>
      <w:r w:rsidRPr="00D64771">
        <w:rPr>
          <w:sz w:val="28"/>
          <w:szCs w:val="28"/>
        </w:rPr>
        <w:t>Кроме того, ряд полномоч</w:t>
      </w:r>
      <w:r w:rsidR="00D64771" w:rsidRPr="00D64771">
        <w:rPr>
          <w:sz w:val="28"/>
          <w:szCs w:val="28"/>
        </w:rPr>
        <w:t>ий Российской Федерации передан</w:t>
      </w:r>
      <w:r w:rsidR="00D64771" w:rsidRPr="00D64771">
        <w:rPr>
          <w:sz w:val="28"/>
          <w:szCs w:val="28"/>
        </w:rPr>
        <w:br/>
      </w:r>
      <w:r w:rsidRPr="00D64771">
        <w:rPr>
          <w:sz w:val="28"/>
          <w:szCs w:val="28"/>
        </w:rPr>
        <w:lastRenderedPageBreak/>
        <w:t>для осуществления органам государственной власти субъекта Российской Федерации, в том числе, государственная охрана объектов культурного наследия федерального значения, федеральный государственный контроль (надзор) в области охраны объектов культурного наследия (статья 9.1 Закона № 73-ФЗ). Средства</w:t>
      </w:r>
      <w:r w:rsidR="002639BC">
        <w:rPr>
          <w:sz w:val="28"/>
          <w:szCs w:val="28"/>
        </w:rPr>
        <w:t xml:space="preserve"> </w:t>
      </w:r>
      <w:r w:rsidRPr="00D64771">
        <w:rPr>
          <w:sz w:val="28"/>
          <w:szCs w:val="28"/>
        </w:rPr>
        <w:t xml:space="preserve">на осуществление переданных полномочий </w:t>
      </w:r>
      <w:hyperlink r:id="rId5">
        <w:r w:rsidRPr="00D64771">
          <w:rPr>
            <w:rStyle w:val="a3"/>
            <w:color w:val="auto"/>
            <w:sz w:val="28"/>
            <w:szCs w:val="28"/>
            <w:u w:val="none"/>
          </w:rPr>
          <w:t>предоставляются</w:t>
        </w:r>
      </w:hyperlink>
      <w:r w:rsidRPr="00D64771">
        <w:rPr>
          <w:sz w:val="28"/>
          <w:szCs w:val="28"/>
        </w:rPr>
        <w:t xml:space="preserve"> в виде субвенций</w:t>
      </w:r>
      <w:r w:rsidR="002639BC">
        <w:rPr>
          <w:sz w:val="28"/>
          <w:szCs w:val="28"/>
        </w:rPr>
        <w:t xml:space="preserve"> </w:t>
      </w:r>
      <w:r w:rsidRPr="00D64771">
        <w:rPr>
          <w:sz w:val="28"/>
          <w:szCs w:val="28"/>
        </w:rPr>
        <w:t>из федерального бюджета. Уполномоченными органами государственной власти</w:t>
      </w:r>
      <w:r w:rsidR="002639BC">
        <w:rPr>
          <w:sz w:val="28"/>
          <w:szCs w:val="28"/>
        </w:rPr>
        <w:t xml:space="preserve"> </w:t>
      </w:r>
      <w:r w:rsidRPr="00D64771">
        <w:rPr>
          <w:sz w:val="28"/>
          <w:szCs w:val="28"/>
        </w:rPr>
        <w:t xml:space="preserve">на федеральном уровне проводится работа по возможному изменению, в том числе, посредством увеличения количества показателей, порядка </w:t>
      </w:r>
      <w:proofErr w:type="gramStart"/>
      <w:r w:rsidRPr="00D64771">
        <w:rPr>
          <w:sz w:val="28"/>
          <w:szCs w:val="28"/>
        </w:rPr>
        <w:t>оценки эффективности деятельности органов государственной власти субъектов Российской Федерации</w:t>
      </w:r>
      <w:proofErr w:type="gramEnd"/>
      <w:r w:rsidR="002639BC">
        <w:rPr>
          <w:sz w:val="28"/>
          <w:szCs w:val="28"/>
        </w:rPr>
        <w:t xml:space="preserve"> </w:t>
      </w:r>
      <w:r w:rsidRPr="00D64771">
        <w:rPr>
          <w:sz w:val="28"/>
          <w:szCs w:val="28"/>
        </w:rPr>
        <w:t>по реализации переданных полномочий, что я</w:t>
      </w:r>
      <w:r w:rsidR="00D64771" w:rsidRPr="00D64771">
        <w:rPr>
          <w:sz w:val="28"/>
          <w:szCs w:val="28"/>
        </w:rPr>
        <w:t>вляется естественной тенденцией</w:t>
      </w:r>
      <w:r w:rsidR="002639BC">
        <w:rPr>
          <w:sz w:val="28"/>
          <w:szCs w:val="28"/>
        </w:rPr>
        <w:t xml:space="preserve"> </w:t>
      </w:r>
      <w:r w:rsidRPr="00D64771">
        <w:rPr>
          <w:sz w:val="28"/>
          <w:szCs w:val="28"/>
        </w:rPr>
        <w:t xml:space="preserve">и одновременно требует повышения эффективности деятельности региональных органов охраны объектов культурного наследия. </w:t>
      </w:r>
    </w:p>
    <w:p w:rsidR="00041A80" w:rsidRPr="00D64771" w:rsidRDefault="009F2F4F" w:rsidP="00D64771">
      <w:pPr>
        <w:spacing w:line="360" w:lineRule="auto"/>
        <w:ind w:firstLine="709"/>
        <w:jc w:val="both"/>
        <w:rPr>
          <w:sz w:val="28"/>
          <w:szCs w:val="28"/>
        </w:rPr>
      </w:pPr>
      <w:r w:rsidRPr="00D64771">
        <w:rPr>
          <w:sz w:val="28"/>
          <w:szCs w:val="28"/>
        </w:rPr>
        <w:t>Установление возможности осуществления полномочий в соответствии</w:t>
      </w:r>
      <w:r w:rsidR="002639BC">
        <w:rPr>
          <w:sz w:val="28"/>
          <w:szCs w:val="28"/>
        </w:rPr>
        <w:t xml:space="preserve"> </w:t>
      </w:r>
      <w:r w:rsidRPr="00D64771">
        <w:rPr>
          <w:sz w:val="28"/>
          <w:szCs w:val="28"/>
        </w:rPr>
        <w:t>с Законом № 73-ФЗ органами, осуществляющими иные фу</w:t>
      </w:r>
      <w:r w:rsidR="00D64771" w:rsidRPr="00D64771">
        <w:rPr>
          <w:sz w:val="28"/>
          <w:szCs w:val="28"/>
        </w:rPr>
        <w:t>нкции, может привести</w:t>
      </w:r>
      <w:r w:rsidR="002639BC">
        <w:rPr>
          <w:sz w:val="28"/>
          <w:szCs w:val="28"/>
        </w:rPr>
        <w:t xml:space="preserve"> </w:t>
      </w:r>
      <w:r w:rsidRPr="00D64771">
        <w:rPr>
          <w:sz w:val="28"/>
          <w:szCs w:val="28"/>
        </w:rPr>
        <w:t>к снижению концентрации необходимых ресурсов, а также к работе по остаточному принципу в деятельности тех органов, которые имеют ф</w:t>
      </w:r>
      <w:r w:rsidR="00D64771" w:rsidRPr="00D64771">
        <w:rPr>
          <w:sz w:val="28"/>
          <w:szCs w:val="28"/>
        </w:rPr>
        <w:t>ункционал в различных отраслях.</w:t>
      </w:r>
    </w:p>
    <w:p w:rsidR="00D64771" w:rsidRPr="00D64771" w:rsidRDefault="009F2F4F" w:rsidP="00D64771">
      <w:pPr>
        <w:spacing w:line="360" w:lineRule="auto"/>
        <w:ind w:firstLine="709"/>
        <w:jc w:val="both"/>
        <w:rPr>
          <w:sz w:val="28"/>
          <w:szCs w:val="28"/>
        </w:rPr>
      </w:pPr>
      <w:r w:rsidRPr="00D64771">
        <w:rPr>
          <w:sz w:val="28"/>
          <w:szCs w:val="28"/>
        </w:rPr>
        <w:t>Обоснование, изложенное в пояснительной записке к проекту, не является достаточным для внедрения предложенных изменений. Действующая редакция подпункта 2 статьи 10 Закона № 73-ФЗ не ограничивает самостоятельность субъектов Российской Федерации в определении системы органов государственной власти. Понятие системы органов государственной власти нормативно</w:t>
      </w:r>
      <w:r w:rsidR="002639BC">
        <w:rPr>
          <w:sz w:val="28"/>
          <w:szCs w:val="28"/>
        </w:rPr>
        <w:t xml:space="preserve"> </w:t>
      </w:r>
      <w:r w:rsidRPr="00D64771">
        <w:rPr>
          <w:sz w:val="28"/>
          <w:szCs w:val="28"/>
        </w:rPr>
        <w:t xml:space="preserve">не определено, однако из буквальных толкований терминов следует, что система </w:t>
      </w:r>
      <w:r w:rsidR="00D64771" w:rsidRPr="00D64771">
        <w:rPr>
          <w:sz w:val="28"/>
          <w:szCs w:val="28"/>
        </w:rPr>
        <w:t>–</w:t>
      </w:r>
      <w:r w:rsidRPr="00D64771">
        <w:rPr>
          <w:sz w:val="28"/>
          <w:szCs w:val="28"/>
        </w:rPr>
        <w:t xml:space="preserve"> это форма организации, упорядоченная совокупность организаций (элементов), находящихся во взаимодействии друг с другом, которая образует определенную целостность, единство. Требование подпункта 2 статьи 10 Закона № 73-ФЗ</w:t>
      </w:r>
      <w:r w:rsidR="002639BC">
        <w:rPr>
          <w:sz w:val="28"/>
          <w:szCs w:val="28"/>
        </w:rPr>
        <w:t xml:space="preserve"> </w:t>
      </w:r>
      <w:r w:rsidRPr="00D64771">
        <w:rPr>
          <w:sz w:val="28"/>
          <w:szCs w:val="28"/>
        </w:rPr>
        <w:t>не ограничивает субъекты Российской Федерации в формировании эффективной системы органов государственной власти как упорядоченной совокупности органов, образующих определенную целостность.</w:t>
      </w:r>
      <w:r w:rsidRPr="00D64771">
        <w:rPr>
          <w:sz w:val="28"/>
          <w:szCs w:val="28"/>
        </w:rPr>
        <w:tab/>
      </w:r>
    </w:p>
    <w:p w:rsidR="00D64771" w:rsidRPr="00D64771" w:rsidRDefault="009F2F4F" w:rsidP="00D6477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64771">
        <w:rPr>
          <w:sz w:val="28"/>
          <w:szCs w:val="28"/>
        </w:rPr>
        <w:t xml:space="preserve">К примеру, согласно части 2 статьи 9 Устава Ивановской области систему органов государственной власти Ивановской области составляют: законодательный </w:t>
      </w:r>
      <w:r w:rsidRPr="00D64771">
        <w:rPr>
          <w:sz w:val="28"/>
          <w:szCs w:val="28"/>
        </w:rPr>
        <w:lastRenderedPageBreak/>
        <w:t>(представительный) орган государственной власти Ивановской области; высшее должностное лицо Ивановской области; высший исполнительный орган государственной власти Ивановской области; мировые судьи Ивановской области; иные органы государственной власти Ивановской области, образуемые</w:t>
      </w:r>
      <w:r w:rsidR="002639BC">
        <w:rPr>
          <w:sz w:val="28"/>
          <w:szCs w:val="28"/>
        </w:rPr>
        <w:t xml:space="preserve"> </w:t>
      </w:r>
      <w:r w:rsidRPr="00D64771">
        <w:rPr>
          <w:sz w:val="28"/>
          <w:szCs w:val="28"/>
        </w:rPr>
        <w:t>в соответствии с Уставом Ивановской области.</w:t>
      </w:r>
      <w:proofErr w:type="gramEnd"/>
      <w:r w:rsidRPr="00D64771">
        <w:rPr>
          <w:sz w:val="28"/>
          <w:szCs w:val="28"/>
        </w:rPr>
        <w:t xml:space="preserve"> Систему исполнительных органов государственной власти Ивановской области составляют: Губернатор Ивановской области, Правительство Ивановской области, иные исполнительные органы государственной власти Ивановской области (часть 1 статьи 58 Устава Ивановской области). На реализацию указанных норм подпункт 2 статьи 10 Закона № 73-ФЗ непосред</w:t>
      </w:r>
      <w:r w:rsidR="00D64771" w:rsidRPr="00D64771">
        <w:rPr>
          <w:sz w:val="28"/>
          <w:szCs w:val="28"/>
        </w:rPr>
        <w:t>ственного влияния не оказывает.</w:t>
      </w:r>
    </w:p>
    <w:p w:rsidR="00D64771" w:rsidRPr="00D64771" w:rsidRDefault="009F2F4F" w:rsidP="00D64771">
      <w:pPr>
        <w:spacing w:line="360" w:lineRule="auto"/>
        <w:ind w:firstLine="709"/>
        <w:jc w:val="both"/>
        <w:rPr>
          <w:sz w:val="28"/>
          <w:szCs w:val="28"/>
        </w:rPr>
      </w:pPr>
      <w:r w:rsidRPr="00D64771">
        <w:rPr>
          <w:sz w:val="28"/>
          <w:szCs w:val="28"/>
        </w:rPr>
        <w:t>Обращаем внимание на то, что действующая редакция подпункта 2 статьи 10 Закона № 73-ФЗ предусматривает возможность создания структурных подразделений высших исполнительных органов субъектов Российской Федерации, а не отдельных органов охраны</w:t>
      </w:r>
      <w:r w:rsidR="00D64771" w:rsidRPr="00D64771">
        <w:rPr>
          <w:sz w:val="28"/>
          <w:szCs w:val="28"/>
        </w:rPr>
        <w:t xml:space="preserve"> объектов культурного наследия.</w:t>
      </w:r>
    </w:p>
    <w:p w:rsidR="00041A80" w:rsidRPr="00D64771" w:rsidRDefault="009F2F4F" w:rsidP="00D64771">
      <w:pPr>
        <w:spacing w:line="360" w:lineRule="auto"/>
        <w:ind w:firstLine="709"/>
        <w:jc w:val="both"/>
        <w:rPr>
          <w:sz w:val="28"/>
          <w:szCs w:val="28"/>
        </w:rPr>
      </w:pPr>
      <w:r w:rsidRPr="00D64771">
        <w:rPr>
          <w:sz w:val="28"/>
          <w:szCs w:val="28"/>
        </w:rPr>
        <w:t>Указание на небольшое количество объектов культурного наследия в отдельных регионах не может само по себе являться фактором изменения действующего законодательства на федеральном уровне. В оценке процессов имеют значение не только количественные показатели, но и качественные, а также характеристики результативности.</w:t>
      </w:r>
    </w:p>
    <w:p w:rsidR="00041A80" w:rsidRDefault="009F2F4F">
      <w:pPr>
        <w:pStyle w:val="Default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Таким образом, законопроектом </w:t>
      </w:r>
      <w:r w:rsidRPr="00D64771">
        <w:rPr>
          <w:sz w:val="28"/>
          <w:szCs w:val="28"/>
        </w:rPr>
        <w:t xml:space="preserve">необоснованно </w:t>
      </w:r>
      <w:r>
        <w:rPr>
          <w:color w:val="auto"/>
          <w:sz w:val="28"/>
          <w:szCs w:val="28"/>
        </w:rPr>
        <w:t xml:space="preserve">предлагается создать условия для упразднения </w:t>
      </w:r>
      <w:proofErr w:type="gramStart"/>
      <w:r>
        <w:rPr>
          <w:color w:val="auto"/>
          <w:sz w:val="28"/>
          <w:szCs w:val="28"/>
        </w:rPr>
        <w:t xml:space="preserve">автономности исполнительных </w:t>
      </w:r>
      <w:r>
        <w:rPr>
          <w:sz w:val="28"/>
          <w:szCs w:val="28"/>
        </w:rPr>
        <w:t>органов государственной власти субъектов Российской Федерации</w:t>
      </w:r>
      <w:proofErr w:type="gramEnd"/>
      <w:r>
        <w:rPr>
          <w:sz w:val="28"/>
          <w:szCs w:val="28"/>
        </w:rPr>
        <w:t xml:space="preserve"> в области государственной охраны объектов культурного наследия, что может привести к кризисным явлениям в их деятельности как следствию новой масштабной реорганизации отрасли, мероприятия которой не обеспечены финансированием бюджетов соответствующих уровней.</w:t>
      </w:r>
    </w:p>
    <w:p w:rsidR="00041A80" w:rsidRDefault="009F2F4F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Исходя из изложенного, </w:t>
      </w:r>
      <w:r w:rsidRPr="00D64771">
        <w:rPr>
          <w:sz w:val="28"/>
          <w:szCs w:val="28"/>
          <w:lang w:eastAsia="ar-SA"/>
        </w:rPr>
        <w:t xml:space="preserve">поддержать </w:t>
      </w:r>
      <w:r w:rsidRPr="00D64771">
        <w:rPr>
          <w:sz w:val="28"/>
          <w:szCs w:val="28"/>
        </w:rPr>
        <w:t>проект федерального закона</w:t>
      </w:r>
      <w:r w:rsidR="002639BC">
        <w:rPr>
          <w:sz w:val="28"/>
          <w:szCs w:val="28"/>
        </w:rPr>
        <w:t xml:space="preserve"> </w:t>
      </w:r>
      <w:r w:rsidRPr="00D64771">
        <w:rPr>
          <w:sz w:val="28"/>
          <w:szCs w:val="28"/>
        </w:rPr>
        <w:t>не представляется возможным</w:t>
      </w:r>
      <w:r>
        <w:rPr>
          <w:sz w:val="28"/>
          <w:szCs w:val="28"/>
        </w:rPr>
        <w:t xml:space="preserve">. </w:t>
      </w:r>
    </w:p>
    <w:sectPr w:rsidR="00041A80">
      <w:pgSz w:w="11906" w:h="16838"/>
      <w:pgMar w:top="851" w:right="56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nos">
    <w:altName w:val="Times New Roman"/>
    <w:charset w:val="01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41A80"/>
    <w:rsid w:val="00041A80"/>
    <w:rsid w:val="002639BC"/>
    <w:rsid w:val="00706195"/>
    <w:rsid w:val="009F2F4F"/>
    <w:rsid w:val="00D6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uiPriority w:val="9"/>
    <w:qFormat/>
    <w:rsid w:val="00E250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semiHidden/>
    <w:qFormat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EA641C"/>
    <w:rPr>
      <w:color w:val="0000FF"/>
      <w:u w:val="single"/>
    </w:rPr>
  </w:style>
  <w:style w:type="character" w:customStyle="1" w:styleId="a4">
    <w:name w:val="Дата Знак"/>
    <w:basedOn w:val="a0"/>
    <w:semiHidden/>
    <w:qFormat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9D0F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qFormat/>
    <w:rsid w:val="0084124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qFormat/>
    <w:rsid w:val="001D7448"/>
  </w:style>
  <w:style w:type="character" w:styleId="a6">
    <w:name w:val="Strong"/>
    <w:uiPriority w:val="22"/>
    <w:qFormat/>
    <w:rsid w:val="001D7448"/>
    <w:rPr>
      <w:b/>
      <w:bCs/>
    </w:rPr>
  </w:style>
  <w:style w:type="character" w:customStyle="1" w:styleId="10">
    <w:name w:val="Заголовок 1 Знак"/>
    <w:basedOn w:val="a0"/>
    <w:uiPriority w:val="9"/>
    <w:qFormat/>
    <w:rsid w:val="00E250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semiHidden/>
    <w:qFormat/>
    <w:rsid w:val="00E25087"/>
    <w:rPr>
      <w:sz w:val="20"/>
      <w:szCs w:val="20"/>
    </w:rPr>
  </w:style>
  <w:style w:type="character" w:styleId="a8">
    <w:name w:val="footnote reference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E25087"/>
    <w:rPr>
      <w:vertAlign w:val="superscript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rsid w:val="009E272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e">
    <w:name w:val="Date"/>
    <w:basedOn w:val="a"/>
    <w:next w:val="a"/>
    <w:semiHidden/>
    <w:unhideWhenUsed/>
    <w:qFormat/>
    <w:rsid w:val="00EA641C"/>
    <w:pPr>
      <w:widowControl/>
    </w:pPr>
    <w:rPr>
      <w:sz w:val="26"/>
      <w:szCs w:val="26"/>
    </w:rPr>
  </w:style>
  <w:style w:type="paragraph" w:customStyle="1" w:styleId="3">
    <w:name w:val="заголовок 3"/>
    <w:basedOn w:val="a"/>
    <w:next w:val="a"/>
    <w:qFormat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qFormat/>
    <w:rsid w:val="00EA641C"/>
    <w:pPr>
      <w:widowControl/>
      <w:spacing w:before="240" w:after="60"/>
    </w:pPr>
    <w:rPr>
      <w:rFonts w:ascii="Arial" w:hAnsi="Arial" w:cs="Arial"/>
    </w:rPr>
  </w:style>
  <w:style w:type="paragraph" w:styleId="af">
    <w:name w:val="Balloon Text"/>
    <w:basedOn w:val="a"/>
    <w:uiPriority w:val="99"/>
    <w:semiHidden/>
    <w:unhideWhenUsed/>
    <w:qFormat/>
    <w:rsid w:val="009D0F88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qFormat/>
    <w:rsid w:val="0087010C"/>
    <w:pPr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qFormat/>
    <w:rsid w:val="007A1CAE"/>
    <w:rPr>
      <w:rFonts w:ascii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867BD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Normal (Web)"/>
    <w:basedOn w:val="a"/>
    <w:semiHidden/>
    <w:unhideWhenUsed/>
    <w:qFormat/>
    <w:rsid w:val="00280596"/>
    <w:pPr>
      <w:widowControl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qFormat/>
    <w:rsid w:val="002F1410"/>
    <w:pPr>
      <w:widowControl/>
      <w:spacing w:beforeAutospacing="1" w:afterAutospacing="1"/>
    </w:pPr>
    <w:rPr>
      <w:sz w:val="24"/>
      <w:szCs w:val="24"/>
    </w:rPr>
  </w:style>
  <w:style w:type="paragraph" w:styleId="af2">
    <w:name w:val="No Spacing"/>
    <w:uiPriority w:val="1"/>
    <w:qFormat/>
    <w:rsid w:val="004B4652"/>
    <w:pPr>
      <w:widowControl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18689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footnote text"/>
    <w:basedOn w:val="a"/>
    <w:uiPriority w:val="99"/>
    <w:semiHidden/>
    <w:unhideWhenUsed/>
    <w:rsid w:val="00E25087"/>
    <w:pPr>
      <w:widowControl/>
    </w:pPr>
    <w:rPr>
      <w:rFonts w:asciiTheme="minorHAnsi" w:eastAsiaTheme="minorHAnsi" w:hAnsiTheme="minorHAnsi" w:cstheme="minorBidi"/>
      <w:lang w:eastAsia="en-US"/>
    </w:rPr>
  </w:style>
  <w:style w:type="paragraph" w:customStyle="1" w:styleId="af4">
    <w:name w:val="Содержимое врезки"/>
    <w:basedOn w:val="a"/>
    <w:qFormat/>
  </w:style>
  <w:style w:type="table" w:styleId="af5">
    <w:name w:val="Table Grid"/>
    <w:basedOn w:val="a1"/>
    <w:uiPriority w:val="59"/>
    <w:rsid w:val="005E7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319037&amp;dst=1000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3830</TotalTime>
  <Pages>4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25.06.2002 N 73-ФЗ(ред. от 26.12.2024)"Об объектах культурного наследия (памятниках истории и культуры) народов Российской Федерации"(с изм. и доп., вступ. в силу с 13.01.2025)</vt:lpstr>
    </vt:vector>
  </TitlesOfParts>
  <Company>КонсультантПлюс Версия 4025.00.02</Company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25.06.2002 N 73-ФЗ(ред. от 26.12.2024)"Об объектах культурного наследия (памятниках истории и культуры) народов Российской Федерации"(с изм. и доп., вступ. в силу с 13.01.2025)</dc:title>
  <dc:creator>Federal1</dc:creator>
  <cp:lastModifiedBy>Pam5</cp:lastModifiedBy>
  <cp:revision>135</cp:revision>
  <cp:lastPrinted>2025-05-23T11:55:00Z</cp:lastPrinted>
  <dcterms:created xsi:type="dcterms:W3CDTF">2025-05-23T13:54:00Z</dcterms:created>
  <dcterms:modified xsi:type="dcterms:W3CDTF">2025-06-17T14:20:00Z</dcterms:modified>
  <dc:language>ru-RU</dc:language>
</cp:coreProperties>
</file>