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6C1" w:rsidRDefault="00EF2218">
      <w:pPr>
        <w:tabs>
          <w:tab w:val="left" w:pos="2085"/>
          <w:tab w:val="right" w:pos="14570"/>
        </w:tabs>
        <w:jc w:val="right"/>
        <w:rPr>
          <w:sz w:val="28"/>
        </w:rPr>
      </w:pPr>
      <w:r>
        <w:rPr>
          <w:sz w:val="28"/>
        </w:rPr>
        <w:t>ПРОЕКТ</w:t>
      </w:r>
    </w:p>
    <w:p w:rsidR="00C836C1" w:rsidRDefault="00C836C1">
      <w:pPr>
        <w:rPr>
          <w:sz w:val="28"/>
        </w:rPr>
      </w:pPr>
    </w:p>
    <w:p w:rsidR="00C836C1" w:rsidRDefault="00C836C1">
      <w:pPr>
        <w:rPr>
          <w:sz w:val="28"/>
        </w:rPr>
      </w:pPr>
    </w:p>
    <w:p w:rsidR="00C836C1" w:rsidRDefault="00EF2218">
      <w:pPr>
        <w:pStyle w:val="af0"/>
        <w:ind w:left="0"/>
        <w:jc w:val="center"/>
        <w:rPr>
          <w:sz w:val="28"/>
        </w:rPr>
      </w:pPr>
      <w:r>
        <w:rPr>
          <w:sz w:val="28"/>
        </w:rPr>
        <w:t xml:space="preserve">Программа </w:t>
      </w:r>
    </w:p>
    <w:p w:rsidR="00C836C1" w:rsidRDefault="00EF2218">
      <w:pPr>
        <w:jc w:val="center"/>
        <w:rPr>
          <w:sz w:val="28"/>
        </w:rPr>
      </w:pPr>
      <w:r>
        <w:rPr>
          <w:sz w:val="28"/>
        </w:rPr>
        <w:t xml:space="preserve">профилактики рисков причинения вреда (ущерба) охраняемым законом ценностям при осуществлении федерального государственного контроля (надзора) за состоянием, содержанием, сохранением, использованием, популяризацией и государственной </w:t>
      </w:r>
      <w:r>
        <w:rPr>
          <w:sz w:val="28"/>
        </w:rPr>
        <w:t>охраной объектов культурного наследия на территории Ивановской области на 2025 год</w:t>
      </w:r>
    </w:p>
    <w:p w:rsidR="00C836C1" w:rsidRDefault="00C836C1">
      <w:pPr>
        <w:pStyle w:val="af4"/>
        <w:contextualSpacing/>
        <w:jc w:val="both"/>
        <w:rPr>
          <w:sz w:val="28"/>
        </w:rPr>
      </w:pPr>
    </w:p>
    <w:p w:rsidR="00C836C1" w:rsidRDefault="00EF2218">
      <w:pPr>
        <w:pStyle w:val="af4"/>
        <w:tabs>
          <w:tab w:val="left" w:pos="709"/>
        </w:tabs>
        <w:spacing w:before="360" w:after="120"/>
        <w:ind w:firstLine="709"/>
        <w:contextualSpacing/>
        <w:jc w:val="both"/>
        <w:rPr>
          <w:sz w:val="28"/>
        </w:rPr>
      </w:pPr>
      <w:proofErr w:type="gramStart"/>
      <w:r>
        <w:rPr>
          <w:sz w:val="28"/>
        </w:rPr>
        <w:t>Программа профилактики рисков причинения вреда (ущерба) охраняемым законом ценностям при осуществлении федерального государственного контроля (надзора) за состоянием, содер</w:t>
      </w:r>
      <w:r>
        <w:rPr>
          <w:sz w:val="28"/>
        </w:rPr>
        <w:t>жанием, сохранением, использованием, популяризацией и государственной охраной объектов культурного наследия на территории Ивановской области на 2024 год (далее – Программа) разработана во исполнение статьи 44 Федерального закона от 31.07.2020 № 248-ФЗ «О г</w:t>
      </w:r>
      <w:r>
        <w:rPr>
          <w:sz w:val="28"/>
        </w:rPr>
        <w:t>осударственном контроле (надзоре) и муниципальном контроле в Российской Федерации» и Правил разработки и</w:t>
      </w:r>
      <w:proofErr w:type="gramEnd"/>
      <w:r>
        <w:rPr>
          <w:sz w:val="28"/>
        </w:rPr>
        <w:t xml:space="preserve"> утверждения контрольными (надзорными) органами программы профилактики рисков причинения вреда (ущерба) охраняемым законом ценностям, утвержденных поста</w:t>
      </w:r>
      <w:r>
        <w:rPr>
          <w:sz w:val="28"/>
        </w:rPr>
        <w:t>новлением Правительства Российской Федерации от 25.06.2021 № 990.</w:t>
      </w:r>
    </w:p>
    <w:p w:rsidR="00C836C1" w:rsidRDefault="00EF2218">
      <w:pPr>
        <w:pStyle w:val="af4"/>
        <w:ind w:firstLine="709"/>
        <w:contextualSpacing/>
        <w:jc w:val="both"/>
        <w:rPr>
          <w:sz w:val="28"/>
        </w:rPr>
      </w:pPr>
      <w:r>
        <w:rPr>
          <w:sz w:val="28"/>
        </w:rPr>
        <w:t>Программа представляет собой взаимосвязанный по целям, задачам, ресурсам и срокам осуществления комплекс профилактических мероприятий, обеспечивающих эффективное решение проблем, препятствую</w:t>
      </w:r>
      <w:r>
        <w:rPr>
          <w:sz w:val="28"/>
        </w:rPr>
        <w:t>щих соблюдению подконтрольными субъектами обязательных требований,</w:t>
      </w:r>
      <w:r w:rsidR="00272F94">
        <w:rPr>
          <w:sz w:val="28"/>
        </w:rPr>
        <w:t xml:space="preserve"> и</w:t>
      </w:r>
      <w:r>
        <w:rPr>
          <w:sz w:val="28"/>
        </w:rPr>
        <w:t xml:space="preserve"> направленных на выявление и устранение конкретных причин и факторов несоблюдения обязательных требований, а также на создание и развитие системы профилактики. </w:t>
      </w:r>
    </w:p>
    <w:p w:rsidR="00C836C1" w:rsidRDefault="00C836C1">
      <w:pPr>
        <w:pStyle w:val="af4"/>
        <w:tabs>
          <w:tab w:val="left" w:pos="709"/>
        </w:tabs>
        <w:spacing w:before="360" w:after="120"/>
        <w:ind w:firstLine="709"/>
        <w:contextualSpacing/>
        <w:jc w:val="both"/>
        <w:rPr>
          <w:sz w:val="28"/>
        </w:rPr>
      </w:pPr>
    </w:p>
    <w:p w:rsidR="00C836C1" w:rsidRDefault="00EF2218">
      <w:pPr>
        <w:pStyle w:val="af4"/>
        <w:spacing w:before="360" w:after="120"/>
        <w:contextualSpacing/>
        <w:jc w:val="center"/>
        <w:rPr>
          <w:sz w:val="28"/>
        </w:rPr>
      </w:pPr>
      <w:r>
        <w:rPr>
          <w:sz w:val="28"/>
        </w:rPr>
        <w:t>Раздел 1. Анализ текущего со</w:t>
      </w:r>
      <w:r>
        <w:rPr>
          <w:sz w:val="28"/>
        </w:rPr>
        <w:t>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C836C1" w:rsidRDefault="00C836C1">
      <w:pPr>
        <w:pStyle w:val="af4"/>
        <w:contextualSpacing/>
        <w:jc w:val="both"/>
        <w:rPr>
          <w:sz w:val="28"/>
        </w:rPr>
      </w:pPr>
    </w:p>
    <w:p w:rsidR="00C836C1" w:rsidRDefault="00EF2218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 соответствии со статьей 11 Федерального закона «</w:t>
      </w:r>
      <w:r>
        <w:rPr>
          <w:sz w:val="28"/>
        </w:rPr>
        <w:t>Об объектах культурного наследия (памятниках истории и культуры) народов Российской Федерации» (далее – Закон № 73-ФЗ), Положением о комитете Ивановской области по государственной охране объектов культурного наследия, утвержденным постановлением Правительс</w:t>
      </w:r>
      <w:r>
        <w:rPr>
          <w:sz w:val="28"/>
        </w:rPr>
        <w:t>тва Ивановской области от 24.12.2015 № 594-п, комитет Ивановской области по государственной охране объектов культурного наследия (далее − Комитет) осуществляет федеральный государственный контроль (надзор) за состоянием, содержанием, сохранением</w:t>
      </w:r>
      <w:proofErr w:type="gramEnd"/>
      <w:r>
        <w:rPr>
          <w:sz w:val="28"/>
        </w:rPr>
        <w:t xml:space="preserve">, </w:t>
      </w:r>
      <w:r>
        <w:rPr>
          <w:sz w:val="28"/>
        </w:rPr>
        <w:lastRenderedPageBreak/>
        <w:t>использов</w:t>
      </w:r>
      <w:r>
        <w:rPr>
          <w:sz w:val="28"/>
        </w:rPr>
        <w:t>анием, популяризацией и государственной охраной объектов культурного наследия на территории Ивановской области.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2024 году федеральный государственный контроль (надзор) за состоянием, содержанием, сохранением, использованием, популяризацией и государствен</w:t>
      </w:r>
      <w:r>
        <w:rPr>
          <w:rFonts w:ascii="Times New Roman" w:hAnsi="Times New Roman"/>
          <w:sz w:val="28"/>
        </w:rPr>
        <w:t>ной охраной объектов культурного наследия на территории Ивановской области осуществлялся в соответствии с Федеральным законом от 31.07.2020 № 248-ФЗ «О государственном контроле (надзоре) и муниципальном контроле в Российской Федерации»</w:t>
      </w:r>
      <w:r w:rsidR="00272F94">
        <w:rPr>
          <w:rFonts w:ascii="Times New Roman" w:hAnsi="Times New Roman"/>
          <w:sz w:val="28"/>
        </w:rPr>
        <w:t xml:space="preserve">, </w:t>
      </w:r>
      <w:r w:rsidR="00272F94" w:rsidRPr="00272F94">
        <w:rPr>
          <w:rFonts w:ascii="Times New Roman" w:hAnsi="Times New Roman"/>
          <w:sz w:val="28"/>
        </w:rPr>
        <w:t>постановлением Правительства Российской Федерации от 30.06.2021 № 1093 «О федеральном государственном контроле (надзоре) за состоянием, содержанием, сохранением, использованием, популяризацией</w:t>
      </w:r>
      <w:proofErr w:type="gramEnd"/>
      <w:r w:rsidR="00272F94" w:rsidRPr="00272F94">
        <w:rPr>
          <w:rFonts w:ascii="Times New Roman" w:hAnsi="Times New Roman"/>
          <w:sz w:val="28"/>
        </w:rPr>
        <w:t xml:space="preserve"> и государственной охраной объектов культурного наследия» </w:t>
      </w:r>
      <w:r>
        <w:rPr>
          <w:rFonts w:ascii="Times New Roman" w:hAnsi="Times New Roman"/>
          <w:sz w:val="28"/>
        </w:rPr>
        <w:t>и с учетом постановл</w:t>
      </w:r>
      <w:r>
        <w:rPr>
          <w:rFonts w:ascii="Times New Roman" w:hAnsi="Times New Roman"/>
          <w:sz w:val="28"/>
        </w:rPr>
        <w:t>ения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2023 и 2024 году </w:t>
      </w:r>
      <w:r w:rsidR="00272F94" w:rsidRPr="00272F94">
        <w:rPr>
          <w:rFonts w:ascii="Times New Roman" w:hAnsi="Times New Roman"/>
          <w:sz w:val="28"/>
        </w:rPr>
        <w:t>плановые проверки не проводились</w:t>
      </w:r>
      <w:r>
        <w:rPr>
          <w:rFonts w:ascii="Times New Roman" w:hAnsi="Times New Roman"/>
          <w:sz w:val="28"/>
        </w:rPr>
        <w:t>, т.к. не предусмотрены действующим з</w:t>
      </w:r>
      <w:r>
        <w:rPr>
          <w:rFonts w:ascii="Times New Roman" w:hAnsi="Times New Roman"/>
          <w:sz w:val="28"/>
        </w:rPr>
        <w:t>аконодательством в указанной сфере, протоколы об административных правонарушениях не составлялись.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контрольные (надзорные) мероприятия проведены на основании программ проверок, либо без взаимодействия с контролируемыми лицами.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период с 01.01.20</w:t>
      </w:r>
      <w:r>
        <w:rPr>
          <w:rFonts w:ascii="Times New Roman" w:hAnsi="Times New Roman"/>
          <w:sz w:val="28"/>
        </w:rPr>
        <w:t>24 по 30.09.2024 были приняты 18 программ проверок, проведено 3 мероприятия с взаимодействием в формате инспекционного визита и 3 мероприятий без взаимодействия в формате выездного обследования.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текущей деятельности выдано 8 предостережений о недо</w:t>
      </w:r>
      <w:r>
        <w:rPr>
          <w:rFonts w:ascii="Times New Roman" w:hAnsi="Times New Roman"/>
          <w:sz w:val="28"/>
        </w:rPr>
        <w:t>пустимости нарушения обязательных требований.</w:t>
      </w:r>
    </w:p>
    <w:p w:rsidR="00C836C1" w:rsidRDefault="00EF2218">
      <w:pPr>
        <w:widowControl w:val="0"/>
        <w:ind w:firstLine="709"/>
        <w:contextualSpacing/>
        <w:jc w:val="both"/>
        <w:rPr>
          <w:sz w:val="28"/>
        </w:rPr>
      </w:pPr>
      <w:r>
        <w:rPr>
          <w:sz w:val="28"/>
        </w:rPr>
        <w:t>В целях профилактики нарушений обязательных требований Комитетом:</w:t>
      </w:r>
    </w:p>
    <w:p w:rsidR="00C836C1" w:rsidRDefault="00EF2218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размещены на официальном сайте надзорного органа Перечни актов, содержащих обязательные требования, соблюдение которых оценивается при </w:t>
      </w:r>
      <w:r>
        <w:rPr>
          <w:sz w:val="28"/>
        </w:rPr>
        <w:t>осуществлении соответствующего вида надзора;</w:t>
      </w:r>
    </w:p>
    <w:p w:rsidR="00C836C1" w:rsidRDefault="00EF2218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в рамках проводимых надзорных мероприятий должностными лицами комитета </w:t>
      </w:r>
      <w:r>
        <w:rPr>
          <w:sz w:val="28"/>
        </w:rPr>
        <w:t>Ивановской области по государственной охране объектов культурного наследия</w:t>
      </w:r>
      <w:r>
        <w:rPr>
          <w:sz w:val="28"/>
        </w:rPr>
        <w:t xml:space="preserve"> юридическим лицам и индивидуальным предпринимателям оказывается м</w:t>
      </w:r>
      <w:r>
        <w:rPr>
          <w:sz w:val="28"/>
        </w:rPr>
        <w:t>етодическая помощь, даются консультации, разъясняются требования законодательства.</w:t>
      </w:r>
    </w:p>
    <w:p w:rsidR="00C836C1" w:rsidRDefault="00EF2218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>обеспечено обобщение практики осуществления в соответствующей сфере деятельности государственного контроля (надзора) и размещение на официальных сайтах в сети «Интернет» соо</w:t>
      </w:r>
      <w:r>
        <w:rPr>
          <w:sz w:val="28"/>
        </w:rPr>
        <w:t xml:space="preserve">тветствующих обобщений, в том </w:t>
      </w:r>
      <w:proofErr w:type="gramStart"/>
      <w:r>
        <w:rPr>
          <w:sz w:val="28"/>
        </w:rPr>
        <w:t>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 приниматься юридическими лиц</w:t>
      </w:r>
      <w:r>
        <w:rPr>
          <w:sz w:val="28"/>
        </w:rPr>
        <w:t>ами, индивидуальными предпринимателями в целях недопущения таких нарушений;</w:t>
      </w:r>
      <w:proofErr w:type="gramEnd"/>
    </w:p>
    <w:p w:rsidR="00C836C1" w:rsidRDefault="00EF2218">
      <w:pPr>
        <w:widowControl w:val="0"/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sz w:val="28"/>
        </w:rPr>
      </w:pPr>
      <w:r>
        <w:rPr>
          <w:sz w:val="28"/>
        </w:rPr>
        <w:t xml:space="preserve">организована выдача предостережений о недопустимости нарушения </w:t>
      </w:r>
      <w:r>
        <w:rPr>
          <w:sz w:val="28"/>
        </w:rPr>
        <w:lastRenderedPageBreak/>
        <w:t>требований, установленных Федеральным законом от 25.06.2002 № 73-ФЗ «Об объектах культурного наследия (памятниках ист</w:t>
      </w:r>
      <w:r>
        <w:rPr>
          <w:sz w:val="28"/>
        </w:rPr>
        <w:t>ории и культуры) народов Российской Федерации»,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ре</w:t>
      </w:r>
      <w:r>
        <w:rPr>
          <w:rFonts w:ascii="Times New Roman" w:hAnsi="Times New Roman"/>
          <w:sz w:val="28"/>
        </w:rPr>
        <w:t>зультате реализации программы ожидается повышение уровня информированности подконтрольных субъектов по вопросам соблюдения обязательных требований, повышение правовой грамотности подконтрольных субъектов, формирование ответственного отношения к проблемам с</w:t>
      </w:r>
      <w:r>
        <w:rPr>
          <w:rFonts w:ascii="Times New Roman" w:hAnsi="Times New Roman"/>
          <w:sz w:val="28"/>
        </w:rPr>
        <w:t>охранения объектов культурного наследия и выработка внутренней мотивации к позитивному правовому поведению, что в результате должно привести к снижению количества нарушений обязательных требований и минимизации угрозы причинения вреда охраняемым законом це</w:t>
      </w:r>
      <w:r>
        <w:rPr>
          <w:rFonts w:ascii="Times New Roman" w:hAnsi="Times New Roman"/>
          <w:sz w:val="28"/>
        </w:rPr>
        <w:t>нностям.</w:t>
      </w:r>
      <w:proofErr w:type="gramEnd"/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Типичными нарушениями обязательных требований законодательства Российской Федерации в области охраны объектов культурного наследия являются: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не проведение собственником (пользователем) объекта культурного наследия работ по сохранению объекта ку</w:t>
      </w:r>
      <w:r>
        <w:rPr>
          <w:rFonts w:ascii="Times New Roman" w:hAnsi="Times New Roman"/>
          <w:sz w:val="28"/>
        </w:rPr>
        <w:t>льтурного наследия при наличии необходимости проведения таких работ;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несвоевременное извещение органа охраны объектов культурного наследия собственником (пользователем) объекта культурного </w:t>
      </w:r>
      <w:proofErr w:type="gramStart"/>
      <w:r>
        <w:rPr>
          <w:rFonts w:ascii="Times New Roman" w:hAnsi="Times New Roman"/>
          <w:sz w:val="28"/>
        </w:rPr>
        <w:t>наследия органа охраны объектов культурного наследия</w:t>
      </w:r>
      <w:proofErr w:type="gramEnd"/>
      <w:r>
        <w:rPr>
          <w:rFonts w:ascii="Times New Roman" w:hAnsi="Times New Roman"/>
          <w:sz w:val="28"/>
        </w:rPr>
        <w:t xml:space="preserve"> о поврежден</w:t>
      </w:r>
      <w:r>
        <w:rPr>
          <w:rFonts w:ascii="Times New Roman" w:hAnsi="Times New Roman"/>
          <w:sz w:val="28"/>
        </w:rPr>
        <w:t>иях, авариях (иных обстоятельствах), причинивших вред объекту культурного наследия, и непринятие мер по предотвращению дальнейшего разрушения (повреждения) такого объекта;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проведение работ, изменяющих предмет охраны объекта культурного наследия либо уху</w:t>
      </w:r>
      <w:r>
        <w:rPr>
          <w:rFonts w:ascii="Times New Roman" w:hAnsi="Times New Roman"/>
          <w:sz w:val="28"/>
        </w:rPr>
        <w:t>дшающих условия, необходимые для сохранности объекта культурного наследия (размещение кондиционеров, вывесок и пр.);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проведение работ по сохранению объекта культурного наследия без разрешения и согласования органа охраны объектов культурного наследия;</w:t>
      </w:r>
    </w:p>
    <w:p w:rsidR="00C836C1" w:rsidRDefault="00EF2218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) проведение строительных и иных работ вблизи объекта культурного наследия в отсутствие в проектной документации разделов, предусматривающих мероприятия по обеспечению сохранности объектов культурного наследия, согласованных органами охраны объектов культу</w:t>
      </w:r>
      <w:r>
        <w:rPr>
          <w:rFonts w:ascii="Times New Roman" w:hAnsi="Times New Roman"/>
          <w:sz w:val="28"/>
        </w:rPr>
        <w:t>рного наследия.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Ключевым риском при реализации Программы является различное толкование содержания обязательных требований подконтрольными субъектами, что может привести к нарушению ими обязательных требований законодательства в области охраны объектов куль</w:t>
      </w:r>
      <w:r>
        <w:rPr>
          <w:sz w:val="28"/>
        </w:rPr>
        <w:t>турного наследия.</w:t>
      </w:r>
    </w:p>
    <w:p w:rsidR="00C836C1" w:rsidRDefault="00EF2218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Комитетом в рамках организованной профилактической работы в 202</w:t>
      </w:r>
      <w:r w:rsidR="00272F94">
        <w:rPr>
          <w:sz w:val="28"/>
        </w:rPr>
        <w:t>4</w:t>
      </w:r>
      <w:r>
        <w:rPr>
          <w:sz w:val="28"/>
        </w:rPr>
        <w:t xml:space="preserve"> году проводились консультации по вопросам касающихся объектов культурного наследия, по телефону, по средством электронной почты. </w:t>
      </w:r>
      <w:proofErr w:type="gramEnd"/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Профилактическая работа осуществлялась Коми</w:t>
      </w:r>
      <w:r>
        <w:rPr>
          <w:sz w:val="28"/>
        </w:rPr>
        <w:t>тетом в течение всего 202</w:t>
      </w:r>
      <w:r w:rsidR="00272F94">
        <w:rPr>
          <w:sz w:val="28"/>
        </w:rPr>
        <w:t>4</w:t>
      </w:r>
      <w:r>
        <w:rPr>
          <w:sz w:val="28"/>
        </w:rPr>
        <w:t xml:space="preserve"> года.</w:t>
      </w:r>
    </w:p>
    <w:p w:rsidR="00C836C1" w:rsidRDefault="00C836C1">
      <w:pPr>
        <w:ind w:firstLine="709"/>
        <w:jc w:val="both"/>
        <w:rPr>
          <w:sz w:val="28"/>
        </w:rPr>
      </w:pPr>
    </w:p>
    <w:p w:rsidR="00C836C1" w:rsidRDefault="00EF2218">
      <w:pPr>
        <w:jc w:val="center"/>
        <w:rPr>
          <w:sz w:val="28"/>
        </w:rPr>
      </w:pPr>
      <w:r>
        <w:rPr>
          <w:sz w:val="28"/>
        </w:rPr>
        <w:t xml:space="preserve">Раздел 2. Цели и задачи реализации Программы </w:t>
      </w:r>
    </w:p>
    <w:p w:rsidR="00C836C1" w:rsidRDefault="00C836C1">
      <w:pPr>
        <w:pStyle w:val="af4"/>
        <w:spacing w:before="120" w:after="120"/>
        <w:contextualSpacing/>
        <w:jc w:val="center"/>
        <w:rPr>
          <w:sz w:val="28"/>
        </w:rPr>
      </w:pPr>
    </w:p>
    <w:p w:rsidR="00C836C1" w:rsidRDefault="00EF2218">
      <w:pPr>
        <w:pStyle w:val="af4"/>
        <w:spacing w:before="120"/>
        <w:ind w:firstLine="709"/>
        <w:contextualSpacing/>
        <w:jc w:val="both"/>
        <w:rPr>
          <w:sz w:val="28"/>
        </w:rPr>
      </w:pPr>
      <w:r>
        <w:rPr>
          <w:sz w:val="28"/>
        </w:rPr>
        <w:t>Профилактическая работа в Комитете представляет собой системно организованную деятельность по комплексной реализации мер организационного, информационного, правового и иного х</w:t>
      </w:r>
      <w:r>
        <w:rPr>
          <w:sz w:val="28"/>
        </w:rPr>
        <w:t>арактера, направленных на достижение следующих основных целей: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предупреждение нарушений подконтрольными субъектами обязательных требований (снижение числа нарушений обязательных требований);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предотвращение причинения вреда либо угрозы причинения вреда </w:t>
      </w:r>
      <w:r>
        <w:rPr>
          <w:rFonts w:ascii="Times New Roman" w:hAnsi="Times New Roman"/>
          <w:sz w:val="28"/>
        </w:rPr>
        <w:t>охраняемым законом ценностям вследствие нарушений обязательных требований;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повышение прозрачности деятельности Комитета при осуществлении регионального государственного контроля (надзора) за состоянием,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содержанием, сохранением, использованием, </w:t>
      </w:r>
      <w:r>
        <w:rPr>
          <w:rFonts w:ascii="Times New Roman" w:hAnsi="Times New Roman"/>
          <w:sz w:val="28"/>
        </w:rPr>
        <w:t>популяризацией и государственной охраной объектов культурного наследия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</w:rPr>
        <w:t>регионального значения, объектов культурного наследия местного (муниципального) значения, выявленных объектов культурного наследия;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моделей социально ответственного, добр</w:t>
      </w:r>
      <w:r>
        <w:rPr>
          <w:rFonts w:ascii="Times New Roman" w:hAnsi="Times New Roman"/>
          <w:sz w:val="28"/>
        </w:rPr>
        <w:t>осовестного, правового поведения подконтрольных субъектов.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поставленных целей настоящей программы необходимо решение следующих задач: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выявление причин, факторов и условий, способствующих возможному нарушению обязательных требований;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устр</w:t>
      </w:r>
      <w:r>
        <w:rPr>
          <w:rFonts w:ascii="Times New Roman" w:hAnsi="Times New Roman"/>
          <w:sz w:val="28"/>
        </w:rPr>
        <w:t>анение причин, факторов и условий, способствующих возможному нарушению обязательных требований;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повышение уровня правовой грамотности подконтрольных субъектов;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единого понимания обязательных требований у всех участников отношений в област</w:t>
      </w:r>
      <w:r>
        <w:rPr>
          <w:rFonts w:ascii="Times New Roman" w:hAnsi="Times New Roman"/>
          <w:sz w:val="28"/>
        </w:rPr>
        <w:t>и регионального государственного надзора, в том числе путем разъяснения подконтрольным субъектам обязательных требований;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мотивация подконтрольных субъектов к добросовестному поведению и, как следствие, снижение вреда, причиняемого охраняемым законом цен</w:t>
      </w:r>
      <w:r>
        <w:rPr>
          <w:rFonts w:ascii="Times New Roman" w:hAnsi="Times New Roman"/>
          <w:sz w:val="28"/>
        </w:rPr>
        <w:t>ностям;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оценка состояния подконтрольной среды и особенностей подконтрольных субъектов (объектов);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проведение профилактических мероприятий с учетом данных состояния подконтрольной среды и особенностей конкретных подконтрольных субъектов (объектов);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сбор и анализ статистических данных, необходимых для организации профилактической работы, в том числе для определения видов, форм и интенсивности профилактических мероприятий;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повышение квалификации сотрудников Комитета, уполномоченных на </w:t>
      </w:r>
      <w:r>
        <w:rPr>
          <w:rFonts w:ascii="Times New Roman" w:hAnsi="Times New Roman"/>
          <w:sz w:val="28"/>
        </w:rPr>
        <w:lastRenderedPageBreak/>
        <w:t>осуществление р</w:t>
      </w:r>
      <w:r>
        <w:rPr>
          <w:rFonts w:ascii="Times New Roman" w:hAnsi="Times New Roman"/>
          <w:sz w:val="28"/>
        </w:rPr>
        <w:t>егионального государственного надзора;</w:t>
      </w:r>
    </w:p>
    <w:p w:rsidR="00C836C1" w:rsidRDefault="00EF2218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создание системы взаимодействия между подконтрольными субъектами и Комитетом, обеспечивающей наиболее полное информирование подконтрольных субъектов по вопросам соблюдения обязательных требований и проводимой Комите</w:t>
      </w:r>
      <w:r>
        <w:rPr>
          <w:rFonts w:ascii="Times New Roman" w:hAnsi="Times New Roman"/>
          <w:sz w:val="28"/>
        </w:rPr>
        <w:t>том профилактической работы, в том числе с использованием современных информационно-телекоммуникационных технологий.</w:t>
      </w:r>
    </w:p>
    <w:p w:rsidR="00C836C1" w:rsidRDefault="00C836C1">
      <w:pPr>
        <w:pStyle w:val="ConsPlusNormal1"/>
        <w:ind w:firstLine="540"/>
        <w:jc w:val="both"/>
        <w:rPr>
          <w:rFonts w:ascii="Times New Roman" w:hAnsi="Times New Roman"/>
          <w:sz w:val="28"/>
        </w:rPr>
      </w:pPr>
    </w:p>
    <w:p w:rsidR="00C836C1" w:rsidRDefault="00EF2218">
      <w:pPr>
        <w:pStyle w:val="af4"/>
        <w:spacing w:before="120"/>
        <w:contextualSpacing/>
        <w:jc w:val="center"/>
        <w:rPr>
          <w:sz w:val="28"/>
        </w:rPr>
      </w:pPr>
      <w:r>
        <w:rPr>
          <w:sz w:val="28"/>
        </w:rPr>
        <w:t xml:space="preserve">Раздел 3. Перечень профилактических мероприятий, сроки </w:t>
      </w:r>
    </w:p>
    <w:p w:rsidR="00C836C1" w:rsidRDefault="00EF2218">
      <w:pPr>
        <w:pStyle w:val="af4"/>
        <w:spacing w:before="120"/>
        <w:contextualSpacing/>
        <w:jc w:val="center"/>
        <w:rPr>
          <w:sz w:val="28"/>
        </w:rPr>
      </w:pPr>
      <w:r>
        <w:rPr>
          <w:sz w:val="28"/>
        </w:rPr>
        <w:t>и периодичность их проведения</w:t>
      </w:r>
    </w:p>
    <w:p w:rsidR="00C836C1" w:rsidRDefault="00C836C1">
      <w:pPr>
        <w:pStyle w:val="af4"/>
        <w:spacing w:before="120"/>
        <w:contextualSpacing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81"/>
        <w:gridCol w:w="3038"/>
        <w:gridCol w:w="3698"/>
        <w:gridCol w:w="2319"/>
      </w:tblGrid>
      <w:tr w:rsidR="00C836C1">
        <w:trPr>
          <w:trHeight w:val="776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Срок выполнения меро</w:t>
            </w:r>
            <w:r>
              <w:rPr>
                <w:sz w:val="28"/>
              </w:rPr>
              <w:t>приятия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Ответственный</w:t>
            </w:r>
          </w:p>
          <w:p w:rsidR="00C836C1" w:rsidRDefault="00EF2218">
            <w:pPr>
              <w:widowControl w:val="0"/>
              <w:spacing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за исполнение</w:t>
            </w:r>
          </w:p>
        </w:tc>
      </w:tr>
      <w:tr w:rsidR="00C836C1">
        <w:trPr>
          <w:trHeight w:val="1693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C836C1">
            <w:pPr>
              <w:pStyle w:val="af0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pacing w:val="-6"/>
                <w:sz w:val="28"/>
              </w:rPr>
            </w:pPr>
            <w:r>
              <w:rPr>
                <w:spacing w:val="-6"/>
                <w:sz w:val="28"/>
              </w:rPr>
              <w:t>Информирование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в течение 10 дней с момента принятия нормативных правовых актов, программ, перечней, руководств и иных сведений или внесения в них изменений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pStyle w:val="ConsPlusNormal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Отдел государственного надзора и учета объектов культурного </w:t>
            </w:r>
            <w:r>
              <w:rPr>
                <w:rFonts w:ascii="Times New Roman" w:hAnsi="Times New Roman"/>
                <w:sz w:val="28"/>
              </w:rPr>
              <w:t>наследия Комитета Ивановской области по государственной охране объектов культурного наследия</w:t>
            </w:r>
          </w:p>
          <w:p w:rsidR="00C836C1" w:rsidRDefault="00EF2218">
            <w:pPr>
              <w:pStyle w:val="ConsPlusNormal1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(далее – Отдел)</w:t>
            </w:r>
          </w:p>
        </w:tc>
      </w:tr>
      <w:tr w:rsidR="00C836C1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C836C1">
            <w:pPr>
              <w:pStyle w:val="af0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Обобщение правоприменительной практики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позднее 1 февраля года, следующего за </w:t>
            </w:r>
            <w:proofErr w:type="gramStart"/>
            <w:r>
              <w:rPr>
                <w:sz w:val="28"/>
              </w:rPr>
              <w:t>отчетным</w:t>
            </w:r>
            <w:proofErr w:type="gramEnd"/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Отдел</w:t>
            </w:r>
          </w:p>
        </w:tc>
      </w:tr>
      <w:tr w:rsidR="00C836C1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C836C1">
            <w:pPr>
              <w:pStyle w:val="af0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Объявление предостережения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не позднее 30 дней со</w:t>
            </w:r>
            <w:r>
              <w:rPr>
                <w:spacing w:val="-2"/>
                <w:sz w:val="28"/>
              </w:rPr>
              <w:t xml:space="preserve"> дня получения сведений, указанных в пункте 1 статьи 49 Федерального закона от 31.07.2020 № 248-ФЗ «О государственном контроле (надзоре) и муниципальном контроле в Российской Федерации»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/>
              <w:contextualSpacing/>
              <w:jc w:val="center"/>
              <w:rPr>
                <w:color w:val="FF0000"/>
                <w:sz w:val="28"/>
              </w:rPr>
            </w:pPr>
            <w:r>
              <w:rPr>
                <w:sz w:val="28"/>
              </w:rPr>
              <w:t>Отдел</w:t>
            </w:r>
          </w:p>
        </w:tc>
      </w:tr>
      <w:tr w:rsidR="00C836C1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C836C1">
            <w:pPr>
              <w:pStyle w:val="af0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Консультирование:</w:t>
            </w:r>
          </w:p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- по телефону;</w:t>
            </w:r>
          </w:p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- посредством </w:t>
            </w:r>
            <w:r>
              <w:rPr>
                <w:sz w:val="28"/>
              </w:rPr>
              <w:t>видео-конференц-связи;</w:t>
            </w:r>
          </w:p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- на личном приеме;</w:t>
            </w:r>
          </w:p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- в ходе проведения профилактического мероприятия, контрольного мероприятия.</w:t>
            </w:r>
          </w:p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Консультирование осуществляется по следующим вопросам:</w:t>
            </w:r>
          </w:p>
          <w:p w:rsidR="00C836C1" w:rsidRDefault="00EF2218">
            <w:pPr>
              <w:widowControl w:val="0"/>
              <w:numPr>
                <w:ilvl w:val="0"/>
                <w:numId w:val="3"/>
              </w:numPr>
              <w:tabs>
                <w:tab w:val="left" w:pos="316"/>
              </w:tabs>
              <w:spacing w:before="60" w:after="60"/>
              <w:ind w:left="0" w:firstLine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о порядке исполнения обязательных требований;</w:t>
            </w:r>
          </w:p>
          <w:p w:rsidR="00C836C1" w:rsidRDefault="00EF2218">
            <w:pPr>
              <w:widowControl w:val="0"/>
              <w:numPr>
                <w:ilvl w:val="0"/>
                <w:numId w:val="3"/>
              </w:numPr>
              <w:tabs>
                <w:tab w:val="left" w:pos="316"/>
              </w:tabs>
              <w:spacing w:before="60" w:after="60"/>
              <w:ind w:left="0" w:firstLine="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о порядке исполнения выданного </w:t>
            </w:r>
            <w:r>
              <w:rPr>
                <w:sz w:val="28"/>
              </w:rPr>
              <w:t>Комитетом предписания, объявленного Комитетом предостережения;</w:t>
            </w:r>
          </w:p>
          <w:p w:rsidR="00C836C1" w:rsidRDefault="00EF2218">
            <w:pPr>
              <w:widowControl w:val="0"/>
              <w:tabs>
                <w:tab w:val="left" w:pos="316"/>
              </w:tabs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z w:val="28"/>
              </w:rPr>
              <w:tab/>
              <w:t>по вопросам, связанным с организацией и осуществлением регионального государственного контроля (надзора) в отношении объекта контроля, собственником или иным законным владельцем которого явл</w:t>
            </w:r>
            <w:r>
              <w:rPr>
                <w:sz w:val="28"/>
              </w:rPr>
              <w:t>яется контролируемое лицо, обратившееся за консультированием.</w:t>
            </w:r>
          </w:p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Консультирование по вопросу порядка исполнения выданного Комитетом </w:t>
            </w:r>
            <w:proofErr w:type="gramStart"/>
            <w:r>
              <w:rPr>
                <w:sz w:val="28"/>
              </w:rPr>
              <w:t xml:space="preserve">предписания, объявленного Комитетом </w:t>
            </w:r>
            <w:r>
              <w:rPr>
                <w:sz w:val="28"/>
              </w:rPr>
              <w:lastRenderedPageBreak/>
              <w:t>предостережения осуществляется</w:t>
            </w:r>
            <w:proofErr w:type="gramEnd"/>
            <w:r>
              <w:rPr>
                <w:sz w:val="28"/>
              </w:rPr>
              <w:t xml:space="preserve"> в письменном виде.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ежедневно,</w:t>
            </w:r>
          </w:p>
          <w:p w:rsidR="00C836C1" w:rsidRDefault="00EF2218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кроме выходных и </w:t>
            </w:r>
            <w:r>
              <w:rPr>
                <w:sz w:val="28"/>
              </w:rPr>
              <w:lastRenderedPageBreak/>
              <w:t xml:space="preserve">праздничных </w:t>
            </w:r>
            <w:r>
              <w:rPr>
                <w:sz w:val="28"/>
              </w:rPr>
              <w:t>дней</w:t>
            </w:r>
          </w:p>
          <w:p w:rsidR="00C836C1" w:rsidRDefault="00EF2218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с 09:00 до 18:00</w:t>
            </w:r>
          </w:p>
          <w:p w:rsidR="00C836C1" w:rsidRDefault="00EF2218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(в пятницу – с 09:00 до 16:45),</w:t>
            </w:r>
          </w:p>
          <w:p w:rsidR="00C836C1" w:rsidRDefault="00EF2218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перерыв с 13:00 до 13:45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pStyle w:val="ConsPlusNormal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Отдел</w:t>
            </w:r>
          </w:p>
        </w:tc>
      </w:tr>
      <w:tr w:rsidR="00C836C1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C836C1">
            <w:pPr>
              <w:pStyle w:val="af0"/>
              <w:widowControl w:val="0"/>
              <w:numPr>
                <w:ilvl w:val="0"/>
                <w:numId w:val="2"/>
              </w:numPr>
              <w:spacing w:before="60" w:line="276" w:lineRule="auto"/>
              <w:ind w:left="0" w:firstLine="0"/>
              <w:jc w:val="both"/>
              <w:rPr>
                <w:sz w:val="28"/>
              </w:rPr>
            </w:pP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Профилактический визит</w:t>
            </w:r>
          </w:p>
        </w:tc>
        <w:tc>
          <w:tcPr>
            <w:tcW w:w="3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widowControl w:val="0"/>
              <w:spacing w:before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IV квартал (мероприятие проводится при наличии оснований, предусмо</w:t>
            </w:r>
            <w:r>
              <w:rPr>
                <w:rStyle w:val="1"/>
                <w:sz w:val="28"/>
              </w:rPr>
              <w:t>тренных Федеральным законом                       от 31.07.2020 № 248-ФЗ            «О государственном контроле (надзоре) и муниципальном контроле             в Российской Федерации»          и постановление Правительства Российской Федерации от 30.06.2021</w:t>
            </w:r>
            <w:r>
              <w:rPr>
                <w:rStyle w:val="1"/>
                <w:sz w:val="28"/>
              </w:rPr>
              <w:t xml:space="preserve">           № 1093 «О федеральном государственном контроле (надзоре) за состоянием, содержанием, сохранением, использованием, популяризацией</w:t>
            </w:r>
            <w:bookmarkStart w:id="0" w:name="_GoBack"/>
            <w:r>
              <w:rPr>
                <w:rStyle w:val="1"/>
                <w:sz w:val="28"/>
              </w:rPr>
              <w:t xml:space="preserve"> </w:t>
            </w:r>
            <w:bookmarkEnd w:id="0"/>
            <w:r>
              <w:rPr>
                <w:rStyle w:val="1"/>
                <w:sz w:val="28"/>
              </w:rPr>
              <w:t xml:space="preserve">                         и государственной охраной объектов культурного наследия»)</w:t>
            </w:r>
          </w:p>
          <w:p w:rsidR="00C836C1" w:rsidRDefault="00C836C1">
            <w:pPr>
              <w:jc w:val="both"/>
              <w:rPr>
                <w:rFonts w:ascii="Tinos" w:hAnsi="Tinos"/>
              </w:rPr>
            </w:pP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836C1" w:rsidRDefault="00EF2218">
            <w:pPr>
              <w:pStyle w:val="ConsPlusNormal1"/>
              <w:contextualSpacing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Отдел</w:t>
            </w:r>
          </w:p>
        </w:tc>
      </w:tr>
    </w:tbl>
    <w:p w:rsidR="00C836C1" w:rsidRDefault="00C836C1">
      <w:pPr>
        <w:pStyle w:val="af4"/>
        <w:contextualSpacing/>
        <w:jc w:val="both"/>
        <w:rPr>
          <w:sz w:val="28"/>
        </w:rPr>
      </w:pPr>
    </w:p>
    <w:p w:rsidR="00C836C1" w:rsidRDefault="00EF2218">
      <w:pPr>
        <w:pStyle w:val="af4"/>
        <w:spacing w:before="120"/>
        <w:contextualSpacing/>
        <w:jc w:val="center"/>
        <w:rPr>
          <w:sz w:val="28"/>
        </w:rPr>
      </w:pPr>
      <w:r>
        <w:rPr>
          <w:sz w:val="28"/>
        </w:rPr>
        <w:t xml:space="preserve">Раздел 4. Показатели результативности и эффективности </w:t>
      </w:r>
    </w:p>
    <w:p w:rsidR="00C836C1" w:rsidRDefault="00EF2218">
      <w:pPr>
        <w:pStyle w:val="af4"/>
        <w:spacing w:before="120"/>
        <w:contextualSpacing/>
        <w:jc w:val="center"/>
        <w:rPr>
          <w:sz w:val="28"/>
        </w:rPr>
      </w:pPr>
      <w:r>
        <w:rPr>
          <w:sz w:val="28"/>
        </w:rPr>
        <w:t>Программы профилактики</w:t>
      </w:r>
    </w:p>
    <w:p w:rsidR="00C836C1" w:rsidRDefault="00C836C1">
      <w:pPr>
        <w:pStyle w:val="af4"/>
        <w:spacing w:before="120"/>
        <w:contextualSpacing/>
        <w:jc w:val="center"/>
        <w:rPr>
          <w:sz w:val="28"/>
        </w:rPr>
      </w:pP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Основными критериями оценки эффективности и результативности профилактических мероприятий являются: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- результативность деятельности Комитета;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 xml:space="preserve">- информированность контролируемых </w:t>
      </w:r>
      <w:r>
        <w:rPr>
          <w:sz w:val="28"/>
        </w:rPr>
        <w:t>лиц об обязательных требованиях, о принятых и готовящихся изменениях в системе обязательных требований, о порядке проведения мероприятий по контролю, правах контролируемых лиц в ходе мероприятий по контролю;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- понятность обязательных требований контролируе</w:t>
      </w:r>
      <w:r>
        <w:rPr>
          <w:sz w:val="28"/>
        </w:rPr>
        <w:t>мым лицам;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- вовлечение контролируемых лиц во взаимодействие с Комитетом, в том числе в рамках проводимых профилактических мероприятий.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 xml:space="preserve">Оценка эффективности и результативности профилактических мероприятий осуществляется в ходе </w:t>
      </w:r>
      <w:proofErr w:type="gramStart"/>
      <w:r>
        <w:rPr>
          <w:sz w:val="28"/>
        </w:rPr>
        <w:t>анализа выполнения мероприяти</w:t>
      </w:r>
      <w:r>
        <w:rPr>
          <w:sz w:val="28"/>
        </w:rPr>
        <w:t>й Программы профилактики</w:t>
      </w:r>
      <w:proofErr w:type="gramEnd"/>
      <w:r>
        <w:rPr>
          <w:sz w:val="28"/>
        </w:rPr>
        <w:t xml:space="preserve"> по следующим индикативным показателям: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- количество проведенных профилактических мероприятий, ед.;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- количество докладов по профилактике нарушений обязательных требований, размещенных на официальном сайте Комитета в информационно-т</w:t>
      </w:r>
      <w:r>
        <w:rPr>
          <w:sz w:val="28"/>
        </w:rPr>
        <w:t>елекоммуникационной сети Интернет, ед.;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- количество контролируемых лиц, в отношении которых проведены профилактические мероприятия, ед.;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 xml:space="preserve">- наличие на официальном сайте Комитета в информационно-телекоммуникационной сети Интернет актуального перечня актов, </w:t>
      </w:r>
      <w:r>
        <w:rPr>
          <w:sz w:val="28"/>
        </w:rPr>
        <w:t>содержащих обязательные требования, соблюдение которых оценивается при проведении мероприятий по контролю;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 xml:space="preserve">- количество консультаций, оказанных контролируемым лицам по вопросам соблюдения обязательных требований, содержащихся в нормативных правовых актах, </w:t>
      </w:r>
      <w:r>
        <w:rPr>
          <w:sz w:val="28"/>
        </w:rPr>
        <w:t>ед.;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- количество обобщений практики осуществления регионального государственного контроля (надзора), размещенных на официальном сайте Комитета в информационно-телекоммуникационной сети Интернет, ед.;</w:t>
      </w:r>
    </w:p>
    <w:p w:rsidR="00C836C1" w:rsidRDefault="00EF2218">
      <w:pPr>
        <w:ind w:firstLine="709"/>
        <w:jc w:val="both"/>
        <w:rPr>
          <w:sz w:val="28"/>
        </w:rPr>
      </w:pPr>
      <w:r>
        <w:rPr>
          <w:sz w:val="28"/>
        </w:rPr>
        <w:t>Результаты оценки эффективности и результативности проф</w:t>
      </w:r>
      <w:r>
        <w:rPr>
          <w:sz w:val="28"/>
        </w:rPr>
        <w:t>илактических мероприятий отражаются в докладе об итогах профилактической работы, проведенной комитетом.</w:t>
      </w:r>
    </w:p>
    <w:p w:rsidR="00C836C1" w:rsidRDefault="00C836C1">
      <w:pPr>
        <w:ind w:firstLine="709"/>
        <w:jc w:val="both"/>
        <w:rPr>
          <w:sz w:val="28"/>
        </w:rPr>
      </w:pPr>
    </w:p>
    <w:p w:rsidR="00C836C1" w:rsidRDefault="00C836C1">
      <w:pPr>
        <w:jc w:val="center"/>
        <w:rPr>
          <w:sz w:val="28"/>
        </w:rPr>
      </w:pPr>
    </w:p>
    <w:p w:rsidR="00C836C1" w:rsidRDefault="00C836C1">
      <w:pPr>
        <w:jc w:val="center"/>
        <w:rPr>
          <w:sz w:val="28"/>
        </w:rPr>
      </w:pPr>
    </w:p>
    <w:p w:rsidR="00C836C1" w:rsidRDefault="00EF2218">
      <w:pPr>
        <w:jc w:val="center"/>
        <w:rPr>
          <w:sz w:val="28"/>
        </w:rPr>
      </w:pPr>
      <w:r>
        <w:rPr>
          <w:sz w:val="28"/>
        </w:rPr>
        <w:t xml:space="preserve">Показатели </w:t>
      </w:r>
    </w:p>
    <w:p w:rsidR="00C836C1" w:rsidRDefault="00EF2218">
      <w:pPr>
        <w:jc w:val="center"/>
        <w:rPr>
          <w:sz w:val="28"/>
        </w:rPr>
      </w:pPr>
      <w:r>
        <w:rPr>
          <w:sz w:val="28"/>
        </w:rPr>
        <w:t xml:space="preserve">эффективности и результативности профилактических мероприятий </w:t>
      </w:r>
    </w:p>
    <w:p w:rsidR="00C836C1" w:rsidRDefault="00EF2218">
      <w:pPr>
        <w:jc w:val="center"/>
        <w:rPr>
          <w:sz w:val="28"/>
        </w:rPr>
      </w:pPr>
      <w:r>
        <w:rPr>
          <w:sz w:val="28"/>
        </w:rPr>
        <w:t>в 2025 году</w:t>
      </w:r>
    </w:p>
    <w:p w:rsidR="00C836C1" w:rsidRDefault="00C836C1">
      <w:pPr>
        <w:jc w:val="center"/>
        <w:rPr>
          <w:sz w:val="28"/>
        </w:rPr>
      </w:pPr>
    </w:p>
    <w:tbl>
      <w:tblPr>
        <w:tblW w:w="0" w:type="auto"/>
        <w:tblInd w:w="62" w:type="dxa"/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7074"/>
        <w:gridCol w:w="1988"/>
      </w:tblGrid>
      <w:tr w:rsidR="00C836C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показателя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Величина</w:t>
            </w:r>
          </w:p>
        </w:tc>
      </w:tr>
      <w:tr w:rsidR="00C836C1">
        <w:trPr>
          <w:trHeight w:val="613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836C1" w:rsidRDefault="00EF2218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Полнота </w:t>
            </w:r>
            <w:r>
              <w:rPr>
                <w:sz w:val="28"/>
              </w:rPr>
              <w:t>информации, размещаемая на официальном сайте Комитета в информационно-телекоммуникационной сети Интернет в соответствии с пунктом 3 статьи 46 Федерального закона от 31.07.2020 № 248-ФЗ «О государственном контроле (надзоре) и муниципальном контроле в Россий</w:t>
            </w:r>
            <w:r>
              <w:rPr>
                <w:sz w:val="28"/>
              </w:rPr>
              <w:t>ской Федерации»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C836C1" w:rsidRDefault="00EF2218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</w:tr>
      <w:tr w:rsidR="00C836C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Удовлетворенность доступностью на официальном сайте Комитета в информационно-телекоммуникационной сети Интернет для контролируемых лиц информации о принятых и готовящихся изменениях обязательных требований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не менее 80%</w:t>
            </w:r>
          </w:p>
        </w:tc>
      </w:tr>
      <w:tr w:rsidR="00C836C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Проведение профилактических мероприятий, предусмотренных перечнем, в соответствии со сроками (периодичностью) их проведения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t>100%</w:t>
            </w:r>
          </w:p>
        </w:tc>
      </w:tr>
      <w:tr w:rsidR="00C836C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7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C836C1" w:rsidRDefault="00EF2218">
            <w:pPr>
              <w:widowControl w:val="0"/>
              <w:spacing w:before="60" w:after="60"/>
              <w:contextualSpacing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Количество проведенных профилактических </w:t>
            </w:r>
            <w:r>
              <w:rPr>
                <w:sz w:val="28"/>
              </w:rPr>
              <w:lastRenderedPageBreak/>
              <w:t>мероприятий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62" w:type="dxa"/>
              <w:bottom w:w="57" w:type="dxa"/>
              <w:right w:w="62" w:type="dxa"/>
            </w:tcMar>
            <w:vAlign w:val="center"/>
          </w:tcPr>
          <w:p w:rsidR="00C836C1" w:rsidRDefault="00EF2218">
            <w:pPr>
              <w:widowControl w:val="0"/>
              <w:spacing w:before="60" w:after="60"/>
              <w:contextualSpacing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не менее 4</w:t>
            </w:r>
          </w:p>
        </w:tc>
      </w:tr>
    </w:tbl>
    <w:p w:rsidR="00C836C1" w:rsidRDefault="00C836C1">
      <w:pPr>
        <w:ind w:firstLine="709"/>
        <w:jc w:val="both"/>
        <w:rPr>
          <w:sz w:val="28"/>
        </w:rPr>
      </w:pPr>
    </w:p>
    <w:sectPr w:rsidR="00C836C1">
      <w:headerReference w:type="default" r:id="rId8"/>
      <w:pgSz w:w="11906" w:h="16838"/>
      <w:pgMar w:top="1134" w:right="851" w:bottom="993" w:left="1418" w:header="709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218" w:rsidRDefault="00EF2218">
      <w:r>
        <w:separator/>
      </w:r>
    </w:p>
  </w:endnote>
  <w:endnote w:type="continuationSeparator" w:id="0">
    <w:p w:rsidR="00EF2218" w:rsidRDefault="00EF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218" w:rsidRDefault="00EF2218">
      <w:r>
        <w:separator/>
      </w:r>
    </w:p>
  </w:footnote>
  <w:footnote w:type="continuationSeparator" w:id="0">
    <w:p w:rsidR="00EF2218" w:rsidRDefault="00EF22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36C1" w:rsidRDefault="00EF2218">
    <w:pPr>
      <w:framePr w:wrap="around" w:vAnchor="text" w:hAnchor="margin" w:y="1"/>
    </w:pPr>
    <w:r>
      <w:fldChar w:fldCharType="begin"/>
    </w:r>
    <w:r>
      <w:instrText xml:space="preserve">PAGE </w:instrText>
    </w:r>
    <w:r w:rsidR="00272F94">
      <w:fldChar w:fldCharType="separate"/>
    </w:r>
    <w:r w:rsidR="00272F94">
      <w:rPr>
        <w:noProof/>
      </w:rPr>
      <w:t>9</w:t>
    </w:r>
    <w:r>
      <w:fldChar w:fldCharType="end"/>
    </w:r>
  </w:p>
  <w:p w:rsidR="00C836C1" w:rsidRDefault="00EF2218">
    <w:pPr>
      <w:pStyle w:val="afe"/>
      <w:jc w:val="center"/>
    </w:pPr>
    <w:r>
      <w:rPr>
        <w:rFonts w:ascii="Times New Roman" w:hAnsi="Times New Roman"/>
        <w:noProof/>
        <w:sz w:val="24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90930" cy="174625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90930" cy="17462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:rsidR="00C836C1" w:rsidRDefault="00C836C1"/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Picture 1" o:spid="_x0000_s1026" style="position:absolute;left:0;text-align:left;margin-left:0;margin-top:.05pt;width:85.9pt;height:13.75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" filled="f" stroked="f" strokeweight="0">
              <v:textbox style="mso-fit-shape-to-text:t" inset="0,0,0,0">
                <w:txbxContent>
                  <w:p w:rsidR="00C836C1" w:rsidRDefault="00C836C1"/>
                </w:txbxContent>
              </v:textbox>
              <w10:wrap type="square" anchorx="margin"/>
            </v:rect>
          </w:pict>
        </mc:Fallback>
      </mc:AlternateContent>
    </w:r>
  </w:p>
  <w:p w:rsidR="00C836C1" w:rsidRDefault="00C836C1">
    <w:pPr>
      <w:pStyle w:val="af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505DE"/>
    <w:multiLevelType w:val="multilevel"/>
    <w:tmpl w:val="96D03BF0"/>
    <w:lvl w:ilvl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790" w:hanging="43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30" w:hanging="65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2230" w:hanging="79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735" w:hanging="935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5" w:hanging="1225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1">
    <w:nsid w:val="628D1805"/>
    <w:multiLevelType w:val="multilevel"/>
    <w:tmpl w:val="46BE74D0"/>
    <w:lvl w:ilvl="0">
      <w:start w:val="1"/>
      <w:numFmt w:val="decimal"/>
      <w:lvlText w:val="%1."/>
      <w:lvlJc w:val="left"/>
      <w:pPr>
        <w:tabs>
          <w:tab w:val="left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">
    <w:nsid w:val="79DF40AF"/>
    <w:multiLevelType w:val="multilevel"/>
    <w:tmpl w:val="7C36BFEC"/>
    <w:lvl w:ilvl="0">
      <w:start w:val="1"/>
      <w:numFmt w:val="decimal"/>
      <w:lvlText w:val="%1)"/>
      <w:lvlJc w:val="left"/>
      <w:pPr>
        <w:tabs>
          <w:tab w:val="left" w:pos="0"/>
        </w:tabs>
        <w:ind w:left="1414" w:hanging="705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6C1"/>
    <w:rsid w:val="00272F94"/>
    <w:rsid w:val="00C836C1"/>
    <w:rsid w:val="00EF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line="240" w:lineRule="exact"/>
      <w:ind w:left="216" w:hanging="216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link w:val="30"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pacing w:val="0"/>
      <w:sz w:val="24"/>
    </w:rPr>
  </w:style>
  <w:style w:type="paragraph" w:customStyle="1" w:styleId="Textbody">
    <w:name w:val="Text body"/>
    <w:link w:val="Textbody0"/>
  </w:style>
  <w:style w:type="character" w:customStyle="1" w:styleId="Textbody0">
    <w:name w:val="Text body"/>
    <w:link w:val="Textbody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customStyle="1" w:styleId="ConsPlusNormal">
    <w:name w:val="ConsPlusNormal"/>
    <w:link w:val="ConsPlusNormal0"/>
  </w:style>
  <w:style w:type="character" w:customStyle="1" w:styleId="ConsPlusNormal0">
    <w:name w:val="ConsPlusNormal"/>
    <w:link w:val="ConsPlusNormal"/>
    <w:rPr>
      <w:rFonts w:asciiTheme="minorHAnsi" w:hAnsiTheme="minorHAnsi"/>
      <w:color w:val="000000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0"/>
    <w:rPr>
      <w:rFonts w:ascii="XO Thames" w:hAnsi="XO Thames"/>
      <w:sz w:val="28"/>
    </w:rPr>
  </w:style>
  <w:style w:type="character" w:customStyle="1" w:styleId="Contents70">
    <w:name w:val="Contents 7"/>
    <w:link w:val="Contents7"/>
    <w:rPr>
      <w:rFonts w:ascii="XO Thames" w:hAnsi="XO Thames"/>
      <w:sz w:val="28"/>
    </w:rPr>
  </w:style>
  <w:style w:type="character" w:customStyle="1" w:styleId="110">
    <w:name w:val="Заголовок 11"/>
    <w:rPr>
      <w:sz w:val="28"/>
    </w:rPr>
  </w:style>
  <w:style w:type="character" w:customStyle="1" w:styleId="410">
    <w:name w:val="Заголовок 41"/>
    <w:rPr>
      <w:rFonts w:ascii="XO Thames" w:hAnsi="XO Thames"/>
      <w:b/>
      <w:sz w:val="24"/>
    </w:rPr>
  </w:style>
  <w:style w:type="paragraph" w:customStyle="1" w:styleId="Contents3">
    <w:name w:val="Contents 3"/>
    <w:link w:val="Contents30"/>
    <w:rPr>
      <w:rFonts w:ascii="XO Thames" w:hAnsi="XO Thames"/>
      <w:sz w:val="28"/>
    </w:rPr>
  </w:style>
  <w:style w:type="character" w:customStyle="1" w:styleId="Contents30">
    <w:name w:val="Contents 3"/>
    <w:link w:val="Contents3"/>
    <w:rPr>
      <w:rFonts w:ascii="XO Thames" w:hAnsi="XO Thames"/>
      <w:sz w:val="28"/>
    </w:rPr>
  </w:style>
  <w:style w:type="paragraph" w:customStyle="1" w:styleId="-">
    <w:name w:val="Интернет-ссылка"/>
    <w:link w:val="-0"/>
    <w:rPr>
      <w:color w:val="0000FF"/>
      <w:u w:val="single"/>
    </w:rPr>
  </w:style>
  <w:style w:type="character" w:customStyle="1" w:styleId="-0">
    <w:name w:val="Интернет-ссылка"/>
    <w:link w:val="-"/>
    <w:rPr>
      <w:color w:val="0000FF"/>
      <w:u w:val="single"/>
    </w:rPr>
  </w:style>
  <w:style w:type="character" w:customStyle="1" w:styleId="51">
    <w:name w:val="Заголовок 51"/>
    <w:rPr>
      <w:rFonts w:ascii="XO Thames" w:hAnsi="XO Thames"/>
      <w:b/>
      <w:sz w:val="22"/>
    </w:rPr>
  </w:style>
  <w:style w:type="character" w:customStyle="1" w:styleId="31">
    <w:name w:val="Заголовок 31"/>
    <w:rPr>
      <w:rFonts w:ascii="XO Thames" w:hAnsi="XO Thames"/>
      <w:b/>
      <w:color w:val="000000"/>
      <w:spacing w:val="0"/>
      <w:sz w:val="26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Contents5">
    <w:name w:val="Contents 5"/>
    <w:link w:val="Contents50"/>
    <w:rPr>
      <w:rFonts w:ascii="XO Thames" w:hAnsi="XO Thames"/>
      <w:sz w:val="28"/>
    </w:rPr>
  </w:style>
  <w:style w:type="character" w:customStyle="1" w:styleId="Contents50">
    <w:name w:val="Contents 5"/>
    <w:link w:val="Contents5"/>
    <w:rPr>
      <w:rFonts w:ascii="XO Thames" w:hAnsi="XO Thames"/>
      <w:sz w:val="28"/>
    </w:rPr>
  </w:style>
  <w:style w:type="paragraph" w:customStyle="1" w:styleId="Contents4">
    <w:name w:val="Contents 4"/>
    <w:link w:val="Contents40"/>
    <w:rPr>
      <w:rFonts w:ascii="XO Thames" w:hAnsi="XO Thames"/>
      <w:sz w:val="28"/>
    </w:rPr>
  </w:style>
  <w:style w:type="character" w:customStyle="1" w:styleId="Contents40">
    <w:name w:val="Contents 4"/>
    <w:link w:val="Contents4"/>
    <w:rPr>
      <w:rFonts w:ascii="XO Thames" w:hAnsi="XO Thames"/>
      <w:sz w:val="28"/>
    </w:rPr>
  </w:style>
  <w:style w:type="paragraph" w:customStyle="1" w:styleId="a3">
    <w:name w:val="Верхний колонтитул Знак"/>
    <w:basedOn w:val="23"/>
    <w:link w:val="a4"/>
    <w:rPr>
      <w:rFonts w:ascii="Times New Roman" w:hAnsi="Times New Roman"/>
      <w:sz w:val="24"/>
    </w:rPr>
  </w:style>
  <w:style w:type="character" w:customStyle="1" w:styleId="a4">
    <w:name w:val="Верхний колонтитул Знак"/>
    <w:basedOn w:val="a0"/>
    <w:link w:val="a3"/>
    <w:rPr>
      <w:rFonts w:ascii="Times New Roman" w:hAnsi="Times New Roman"/>
      <w:sz w:val="24"/>
    </w:rPr>
  </w:style>
  <w:style w:type="paragraph" w:styleId="a5">
    <w:name w:val="Subtitle"/>
    <w:next w:val="a"/>
    <w:link w:val="a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12">
    <w:name w:val="Подзаголовок1"/>
    <w:rPr>
      <w:rFonts w:ascii="XO Thames" w:hAnsi="XO Thames"/>
      <w:i/>
      <w:sz w:val="24"/>
    </w:rPr>
  </w:style>
  <w:style w:type="paragraph" w:customStyle="1" w:styleId="a7">
    <w:name w:val="Верхний колонтитул Знак"/>
    <w:basedOn w:val="13"/>
    <w:link w:val="a8"/>
    <w:rPr>
      <w:rFonts w:ascii="Times New Roman" w:hAnsi="Times New Roman"/>
      <w:sz w:val="24"/>
    </w:rPr>
  </w:style>
  <w:style w:type="character" w:customStyle="1" w:styleId="a8">
    <w:name w:val="Верхний колонтитул Знак"/>
    <w:basedOn w:val="a0"/>
    <w:link w:val="a7"/>
    <w:rPr>
      <w:rFonts w:ascii="Times New Roman" w:hAnsi="Times New Roman"/>
      <w:sz w:val="24"/>
    </w:rPr>
  </w:style>
  <w:style w:type="paragraph" w:customStyle="1" w:styleId="a9">
    <w:name w:val="Верхний и нижний колонтитулы"/>
    <w:link w:val="aa"/>
    <w:pPr>
      <w:jc w:val="both"/>
    </w:pPr>
    <w:rPr>
      <w:rFonts w:ascii="XO Thames" w:hAnsi="XO Thames"/>
      <w:sz w:val="20"/>
    </w:rPr>
  </w:style>
  <w:style w:type="character" w:customStyle="1" w:styleId="aa">
    <w:name w:val="Верхний и нижний колонтитулы"/>
    <w:link w:val="a9"/>
    <w:rPr>
      <w:rFonts w:ascii="XO Thames" w:hAnsi="XO Thames"/>
      <w:color w:val="000000"/>
      <w:spacing w:val="0"/>
      <w:sz w:val="20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color w:val="000000"/>
      <w:spacing w:val="0"/>
      <w:sz w:val="28"/>
    </w:rPr>
  </w:style>
  <w:style w:type="paragraph" w:customStyle="1" w:styleId="ab">
    <w:name w:val="Заголовок"/>
    <w:link w:val="ac"/>
    <w:rPr>
      <w:rFonts w:ascii="PT Astra Serif" w:hAnsi="PT Astra Serif"/>
      <w:sz w:val="28"/>
    </w:rPr>
  </w:style>
  <w:style w:type="character" w:customStyle="1" w:styleId="ac">
    <w:name w:val="Заголовок"/>
    <w:link w:val="ab"/>
    <w:rPr>
      <w:rFonts w:ascii="PT Astra Serif" w:hAnsi="PT Astra Serif"/>
      <w:sz w:val="28"/>
    </w:rPr>
  </w:style>
  <w:style w:type="paragraph" w:customStyle="1" w:styleId="ad">
    <w:name w:val="Заголовок"/>
    <w:basedOn w:val="a"/>
    <w:next w:val="ae"/>
    <w:link w:val="af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af">
    <w:name w:val="Заголовок"/>
    <w:basedOn w:val="1"/>
    <w:link w:val="ad"/>
    <w:rPr>
      <w:rFonts w:ascii="PT Astra Serif" w:hAnsi="PT Astra Serif"/>
      <w:color w:val="000000"/>
      <w:spacing w:val="0"/>
      <w:sz w:val="28"/>
    </w:rPr>
  </w:style>
  <w:style w:type="paragraph" w:styleId="af0">
    <w:name w:val="List Paragraph"/>
    <w:basedOn w:val="a"/>
    <w:link w:val="af1"/>
    <w:pPr>
      <w:ind w:left="720"/>
      <w:contextualSpacing/>
    </w:pPr>
    <w:rPr>
      <w:sz w:val="20"/>
    </w:rPr>
  </w:style>
  <w:style w:type="character" w:customStyle="1" w:styleId="14">
    <w:name w:val="Абзац списка1"/>
    <w:rPr>
      <w:sz w:val="20"/>
    </w:rPr>
  </w:style>
  <w:style w:type="paragraph" w:styleId="af2">
    <w:name w:val="caption"/>
    <w:basedOn w:val="a"/>
    <w:link w:val="af3"/>
    <w:pPr>
      <w:spacing w:before="120" w:after="120"/>
    </w:pPr>
    <w:rPr>
      <w:rFonts w:ascii="PT Astra Serif" w:hAnsi="PT Astra Serif"/>
      <w:i/>
    </w:rPr>
  </w:style>
  <w:style w:type="character" w:customStyle="1" w:styleId="15">
    <w:name w:val="Название объекта1"/>
    <w:rPr>
      <w:rFonts w:ascii="PT Astra Serif" w:hAnsi="PT Astra Serif"/>
      <w:i/>
      <w:sz w:val="24"/>
    </w:rPr>
  </w:style>
  <w:style w:type="character" w:customStyle="1" w:styleId="af3">
    <w:name w:val="Название объекта Знак"/>
    <w:basedOn w:val="1"/>
    <w:link w:val="af2"/>
    <w:rPr>
      <w:rFonts w:ascii="PT Astra Serif" w:hAnsi="PT Astra Serif"/>
      <w:i/>
      <w:color w:val="000000"/>
      <w:spacing w:val="0"/>
      <w:sz w:val="24"/>
    </w:rPr>
  </w:style>
  <w:style w:type="paragraph" w:styleId="af4">
    <w:name w:val="Normal (Web)"/>
    <w:basedOn w:val="a"/>
    <w:link w:val="af5"/>
    <w:pPr>
      <w:spacing w:beforeAutospacing="1" w:afterAutospacing="1"/>
    </w:pPr>
  </w:style>
  <w:style w:type="character" w:customStyle="1" w:styleId="16">
    <w:name w:val="Обычный (веб)1"/>
  </w:style>
  <w:style w:type="paragraph" w:styleId="af6">
    <w:name w:val="index heading"/>
    <w:basedOn w:val="a"/>
    <w:link w:val="af7"/>
    <w:rPr>
      <w:rFonts w:ascii="PT Astra Serif" w:hAnsi="PT Astra Serif"/>
    </w:rPr>
  </w:style>
  <w:style w:type="character" w:customStyle="1" w:styleId="17">
    <w:name w:val="Указатель1"/>
    <w:rPr>
      <w:rFonts w:ascii="PT Astra Serif" w:hAnsi="PT Astra Serif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paragraph" w:styleId="ae">
    <w:name w:val="Body Text"/>
    <w:basedOn w:val="a"/>
    <w:link w:val="af8"/>
    <w:pPr>
      <w:spacing w:after="140" w:line="276" w:lineRule="auto"/>
    </w:pPr>
  </w:style>
  <w:style w:type="character" w:customStyle="1" w:styleId="af8">
    <w:name w:val="Основной текст Знак"/>
    <w:basedOn w:val="1"/>
    <w:link w:val="ae"/>
    <w:rPr>
      <w:rFonts w:ascii="Times New Roman" w:hAnsi="Times New Roman"/>
      <w:color w:val="000000"/>
      <w:spacing w:val="0"/>
      <w:sz w:val="24"/>
    </w:rPr>
  </w:style>
  <w:style w:type="paragraph" w:styleId="af9">
    <w:name w:val="List"/>
    <w:basedOn w:val="ae"/>
    <w:link w:val="afa"/>
    <w:rPr>
      <w:rFonts w:ascii="PT Astra Serif" w:hAnsi="PT Astra Serif"/>
    </w:rPr>
  </w:style>
  <w:style w:type="character" w:customStyle="1" w:styleId="18">
    <w:name w:val="Список1"/>
    <w:basedOn w:val="Textbody0"/>
    <w:rPr>
      <w:rFonts w:ascii="PT Astra Serif" w:hAnsi="PT Astra Serif"/>
    </w:rPr>
  </w:style>
  <w:style w:type="paragraph" w:customStyle="1" w:styleId="ConsPlusNonformat">
    <w:name w:val="ConsPlusNonformat"/>
    <w:link w:val="ConsPlusNonformat0"/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color w:val="000000"/>
      <w:spacing w:val="0"/>
      <w:sz w:val="28"/>
    </w:rPr>
  </w:style>
  <w:style w:type="paragraph" w:customStyle="1" w:styleId="Contents6">
    <w:name w:val="Contents 6"/>
    <w:link w:val="Contents60"/>
    <w:rPr>
      <w:rFonts w:ascii="XO Thames" w:hAnsi="XO Thames"/>
      <w:sz w:val="28"/>
    </w:rPr>
  </w:style>
  <w:style w:type="character" w:customStyle="1" w:styleId="Contents60">
    <w:name w:val="Contents 6"/>
    <w:link w:val="Contents6"/>
    <w:rPr>
      <w:rFonts w:ascii="XO Thames" w:hAnsi="XO Thames"/>
      <w:sz w:val="28"/>
    </w:rPr>
  </w:style>
  <w:style w:type="paragraph" w:customStyle="1" w:styleId="19">
    <w:name w:val="Гиперссылка1"/>
    <w:link w:val="afb"/>
    <w:rPr>
      <w:rFonts w:ascii="Calibri" w:hAnsi="Calibri"/>
      <w:color w:val="0000FF"/>
      <w:u w:val="single"/>
    </w:rPr>
  </w:style>
  <w:style w:type="character" w:styleId="afb">
    <w:name w:val="Hyperlink"/>
    <w:link w:val="19"/>
    <w:rPr>
      <w:rFonts w:ascii="Calibri" w:hAnsi="Calibri"/>
      <w:color w:val="0000FF"/>
      <w:spacing w:val="0"/>
      <w:sz w:val="22"/>
      <w:u w:val="single"/>
    </w:rPr>
  </w:style>
  <w:style w:type="paragraph" w:customStyle="1" w:styleId="Footnote1">
    <w:name w:val="Footnote"/>
    <w:link w:val="Footnote2"/>
    <w:pPr>
      <w:ind w:firstLine="851"/>
      <w:jc w:val="both"/>
    </w:pPr>
    <w:rPr>
      <w:rFonts w:ascii="XO Thames" w:hAnsi="XO Thames"/>
    </w:rPr>
  </w:style>
  <w:style w:type="character" w:customStyle="1" w:styleId="Footnote2">
    <w:name w:val="Footnote"/>
    <w:link w:val="Footnote1"/>
    <w:rPr>
      <w:rFonts w:ascii="XO Thames" w:hAnsi="XO Thames"/>
      <w:color w:val="000000"/>
      <w:spacing w:val="0"/>
      <w:sz w:val="22"/>
    </w:rPr>
  </w:style>
  <w:style w:type="paragraph" w:customStyle="1" w:styleId="afc">
    <w:name w:val="Верхний и нижний колонтитулы"/>
    <w:link w:val="afd"/>
  </w:style>
  <w:style w:type="character" w:customStyle="1" w:styleId="afd">
    <w:name w:val="Верхний и нижний колонтитулы"/>
    <w:link w:val="afc"/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color w:val="000000"/>
      <w:spacing w:val="0"/>
      <w:sz w:val="28"/>
    </w:rPr>
  </w:style>
  <w:style w:type="paragraph" w:customStyle="1" w:styleId="13">
    <w:name w:val="Основной шрифт абзаца1"/>
    <w:link w:val="HeaderandFooter"/>
  </w:style>
  <w:style w:type="paragraph" w:customStyle="1" w:styleId="HeaderandFooter">
    <w:name w:val="Header and Footer"/>
    <w:link w:val="HeaderandFooter0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e">
    <w:name w:val="header"/>
    <w:link w:val="1c"/>
  </w:style>
  <w:style w:type="character" w:customStyle="1" w:styleId="1d">
    <w:name w:val="Верхний колонтитул1"/>
    <w:basedOn w:val="1"/>
    <w:rPr>
      <w:rFonts w:ascii="Times New Roman" w:hAnsi="Times New Roman"/>
      <w:color w:val="000000"/>
      <w:spacing w:val="0"/>
      <w:sz w:val="24"/>
    </w:rPr>
  </w:style>
  <w:style w:type="character" w:customStyle="1" w:styleId="1c">
    <w:name w:val="Верхний колонтитул Знак1"/>
    <w:link w:val="afe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9">
    <w:name w:val="Contents 9"/>
    <w:link w:val="Contents90"/>
    <w:rPr>
      <w:rFonts w:ascii="XO Thames" w:hAnsi="XO Thames"/>
      <w:sz w:val="28"/>
    </w:rPr>
  </w:style>
  <w:style w:type="character" w:customStyle="1" w:styleId="Contents90">
    <w:name w:val="Contents 9"/>
    <w:link w:val="Contents9"/>
    <w:rPr>
      <w:rFonts w:ascii="XO Thames" w:hAnsi="XO Thames"/>
      <w:sz w:val="28"/>
    </w:rPr>
  </w:style>
  <w:style w:type="character" w:customStyle="1" w:styleId="210">
    <w:name w:val="Заголовок 21"/>
    <w:rPr>
      <w:rFonts w:ascii="XO Thames" w:hAnsi="XO Thames"/>
      <w:b/>
      <w:sz w:val="28"/>
    </w:rPr>
  </w:style>
  <w:style w:type="paragraph" w:customStyle="1" w:styleId="Contents8">
    <w:name w:val="Contents 8"/>
    <w:link w:val="Contents80"/>
    <w:rPr>
      <w:rFonts w:ascii="XO Thames" w:hAnsi="XO Thames"/>
      <w:sz w:val="28"/>
    </w:rPr>
  </w:style>
  <w:style w:type="character" w:customStyle="1" w:styleId="Contents80">
    <w:name w:val="Contents 8"/>
    <w:link w:val="Contents8"/>
    <w:rPr>
      <w:rFonts w:ascii="XO Thames" w:hAnsi="XO Thames"/>
      <w:sz w:val="28"/>
    </w:rPr>
  </w:style>
  <w:style w:type="paragraph" w:customStyle="1" w:styleId="Contents1">
    <w:name w:val="Contents 1"/>
    <w:link w:val="Contents10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Pr>
      <w:rFonts w:ascii="XO Thames" w:hAnsi="XO Thames"/>
      <w:b/>
      <w:sz w:val="28"/>
    </w:rPr>
  </w:style>
  <w:style w:type="paragraph" w:customStyle="1" w:styleId="23">
    <w:name w:val="Основной шрифт абзаца2"/>
    <w:link w:val="8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sPlusNormal1">
    <w:name w:val="ConsPlusNormal"/>
    <w:link w:val="ConsPlusNormal2"/>
    <w:pPr>
      <w:widowControl w:val="0"/>
    </w:pPr>
  </w:style>
  <w:style w:type="character" w:customStyle="1" w:styleId="ConsPlusNormal2">
    <w:name w:val="ConsPlusNormal"/>
    <w:link w:val="ConsPlusNormal1"/>
    <w:rPr>
      <w:rFonts w:asciiTheme="minorHAnsi" w:hAnsiTheme="minorHAnsi"/>
      <w:color w:val="000000"/>
      <w:spacing w:val="0"/>
      <w:sz w:val="22"/>
    </w:rPr>
  </w:style>
  <w:style w:type="paragraph" w:styleId="aff">
    <w:name w:val="Title"/>
    <w:next w:val="a"/>
    <w:link w:val="af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e">
    <w:name w:val="Название1"/>
    <w:rPr>
      <w:rFonts w:ascii="XO Thames" w:hAnsi="XO Thames"/>
      <w:b/>
      <w:caps/>
      <w:sz w:val="40"/>
    </w:rPr>
  </w:style>
  <w:style w:type="paragraph" w:customStyle="1" w:styleId="Contents2">
    <w:name w:val="Contents 2"/>
    <w:link w:val="Contents20"/>
    <w:rPr>
      <w:rFonts w:ascii="XO Thames" w:hAnsi="XO Thames"/>
      <w:sz w:val="28"/>
    </w:rPr>
  </w:style>
  <w:style w:type="character" w:customStyle="1" w:styleId="Contents20">
    <w:name w:val="Contents 2"/>
    <w:link w:val="Contents2"/>
    <w:rPr>
      <w:rFonts w:ascii="XO Thames" w:hAnsi="XO Thames"/>
      <w:sz w:val="28"/>
    </w:rPr>
  </w:style>
  <w:style w:type="character" w:customStyle="1" w:styleId="af5">
    <w:name w:val="Обычный (веб) Знак"/>
    <w:basedOn w:val="1"/>
    <w:link w:val="af4"/>
    <w:rPr>
      <w:rFonts w:ascii="Times New Roman" w:hAnsi="Times New Roman"/>
      <w:color w:val="000000"/>
      <w:spacing w:val="0"/>
      <w:sz w:val="24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color w:val="000000"/>
      <w:spacing w:val="0"/>
      <w:sz w:val="28"/>
    </w:rPr>
  </w:style>
  <w:style w:type="character" w:customStyle="1" w:styleId="af7">
    <w:name w:val="Указатель Знак"/>
    <w:basedOn w:val="1"/>
    <w:link w:val="af6"/>
    <w:rPr>
      <w:rFonts w:ascii="PT Astra Serif" w:hAnsi="PT Astra Serif"/>
      <w:color w:val="000000"/>
      <w:spacing w:val="0"/>
      <w:sz w:val="24"/>
    </w:rPr>
  </w:style>
  <w:style w:type="paragraph" w:customStyle="1" w:styleId="aff1">
    <w:name w:val="Содержимое врезки"/>
    <w:basedOn w:val="a"/>
    <w:link w:val="aff2"/>
  </w:style>
  <w:style w:type="character" w:customStyle="1" w:styleId="aff2">
    <w:name w:val="Содержимое врезки"/>
    <w:basedOn w:val="1"/>
    <w:link w:val="aff1"/>
    <w:rPr>
      <w:rFonts w:ascii="Times New Roman" w:hAnsi="Times New Roman"/>
      <w:color w:val="000000"/>
      <w:spacing w:val="0"/>
      <w:sz w:val="24"/>
    </w:rPr>
  </w:style>
  <w:style w:type="paragraph" w:customStyle="1" w:styleId="-1">
    <w:name w:val="Интернет-ссылка"/>
    <w:link w:val="-2"/>
    <w:rPr>
      <w:rFonts w:ascii="Calibri" w:hAnsi="Calibri"/>
      <w:color w:val="0000FF"/>
      <w:u w:val="single"/>
    </w:rPr>
  </w:style>
  <w:style w:type="character" w:customStyle="1" w:styleId="-2">
    <w:name w:val="Интернет-ссылка"/>
    <w:link w:val="-1"/>
    <w:rPr>
      <w:rFonts w:ascii="Calibri" w:hAnsi="Calibri"/>
      <w:color w:val="0000FF"/>
      <w:spacing w:val="0"/>
      <w:sz w:val="22"/>
      <w:u w:val="single"/>
    </w:rPr>
  </w:style>
  <w:style w:type="character" w:customStyle="1" w:styleId="a6">
    <w:name w:val="Подзаголовок Знак"/>
    <w:link w:val="a5"/>
    <w:rPr>
      <w:rFonts w:ascii="XO Thames" w:hAnsi="XO Thames"/>
      <w:i/>
      <w:color w:val="000000"/>
      <w:spacing w:val="0"/>
      <w:sz w:val="24"/>
    </w:rPr>
  </w:style>
  <w:style w:type="character" w:customStyle="1" w:styleId="afa">
    <w:name w:val="Список Знак"/>
    <w:basedOn w:val="af8"/>
    <w:link w:val="af9"/>
    <w:rPr>
      <w:rFonts w:ascii="PT Astra Serif" w:hAnsi="PT Astra Serif"/>
      <w:color w:val="000000"/>
      <w:spacing w:val="0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aff0">
    <w:name w:val="Название Знак"/>
    <w:link w:val="aff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ConsPlusNonformat1">
    <w:name w:val="ConsPlusNonformat"/>
    <w:link w:val="ConsPlusNonformat2"/>
    <w:pPr>
      <w:widowControl w:val="0"/>
    </w:pPr>
    <w:rPr>
      <w:rFonts w:ascii="Courier New" w:hAnsi="Courier New"/>
      <w:sz w:val="20"/>
    </w:rPr>
  </w:style>
  <w:style w:type="character" w:customStyle="1" w:styleId="ConsPlusNonformat2">
    <w:name w:val="ConsPlusNonformat"/>
    <w:link w:val="ConsPlusNonformat1"/>
    <w:rPr>
      <w:rFonts w:ascii="Courier New" w:hAnsi="Courier New"/>
      <w:color w:val="000000"/>
      <w:spacing w:val="0"/>
      <w:sz w:val="20"/>
    </w:rPr>
  </w:style>
  <w:style w:type="character" w:customStyle="1" w:styleId="af1">
    <w:name w:val="Абзац списка Знак"/>
    <w:basedOn w:val="1"/>
    <w:link w:val="af0"/>
    <w:rPr>
      <w:rFonts w:ascii="Times New Roman" w:hAnsi="Times New Roman"/>
      <w:color w:val="000000"/>
      <w:spacing w:val="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2296</Words>
  <Characters>13091</Characters>
  <Application>Microsoft Office Word</Application>
  <DocSecurity>0</DocSecurity>
  <Lines>109</Lines>
  <Paragraphs>30</Paragraphs>
  <ScaleCrop>false</ScaleCrop>
  <Company/>
  <LinksUpToDate>false</LinksUpToDate>
  <CharactersWithSpaces>15357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Pam10</cp:lastModifiedBy>
  <cp:revision>2</cp:revision>
  <dcterms:created xsi:type="dcterms:W3CDTF">2024-12-11T09:37:00Z</dcterms:created>
  <dcterms:modified xsi:type="dcterms:W3CDTF">2024-12-11T09:39:00Z</dcterms:modified>
</cp:coreProperties>
</file>