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pStyle w:val="Style_2"/>
        <w:tabs>
          <w:tab w:leader="none" w:pos="720" w:val="clear"/>
          <w:tab w:leader="none" w:pos="2085" w:val="left"/>
          <w:tab w:leader="none" w:pos="14570" w:val="right"/>
        </w:tabs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14:paraId="06000000">
      <w:pPr>
        <w:pStyle w:val="Style_2"/>
        <w:rPr>
          <w:rFonts w:ascii="Times New Roman" w:hAnsi="Times New Roman"/>
          <w:sz w:val="28"/>
        </w:rPr>
      </w:pPr>
    </w:p>
    <w:p w14:paraId="07000000">
      <w:pPr>
        <w:pStyle w:val="Style_2"/>
        <w:rPr>
          <w:rFonts w:ascii="Times New Roman" w:hAnsi="Times New Roman"/>
          <w:sz w:val="28"/>
        </w:rPr>
      </w:pPr>
    </w:p>
    <w:p w14:paraId="08000000">
      <w:pPr>
        <w:pStyle w:val="Style_3"/>
        <w:ind w:firstLine="0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Программа </w:t>
      </w:r>
    </w:p>
    <w:p w14:paraId="09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профилактики рисков причинения вреда (ущерба) охраняемым законом ценностям при осуществлении регионального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</w:t>
      </w:r>
    </w:p>
    <w:p w14:paraId="0A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2025 год</w:t>
      </w:r>
    </w:p>
    <w:p w14:paraId="0B000000">
      <w:pPr>
        <w:pStyle w:val="Style_4"/>
        <w:spacing w:after="280" w:before="280"/>
        <w:ind/>
        <w:contextualSpacing w:val="1"/>
        <w:jc w:val="both"/>
        <w:rPr>
          <w:rFonts w:ascii="Times New Roman" w:hAnsi="Times New Roman"/>
          <w:sz w:val="28"/>
        </w:rPr>
      </w:pPr>
    </w:p>
    <w:p w14:paraId="0C000000">
      <w:pPr>
        <w:pStyle w:val="Style_4"/>
        <w:tabs>
          <w:tab w:leader="none" w:pos="709" w:val="left"/>
          <w:tab w:leader="none" w:pos="720" w:val="clear"/>
        </w:tabs>
        <w:spacing w:after="120" w:before="360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 профилактики рисков причинения вреда (ущерба) охраняемым законом ценностям при осуществлении регионального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 на 2025 год (далее – Программа) разработана во исполнение статьи 44 Федерального закона от 31.07.2020 № 248-ФЗ «О государственном контроле (надзоре) и муниципальном контроле в Российской Федерации» 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утвержденных постановлением Правительства Российской Федерации от 25.06.2021 № 990.</w:t>
      </w:r>
    </w:p>
    <w:p w14:paraId="0D000000">
      <w:pPr>
        <w:pStyle w:val="Style_4"/>
        <w:spacing w:after="280" w:before="280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Программа представляет собой взаимосвязанный по целям, задачам, ресурсам и срокам осуществления комплекс профилактических мероприятий, обеспечивающих эффективное решение проблем, препятствующих соблюдению подконтрольными субъектами обязательных требований, направленных на выявление и устранение конкретных причин и факторов несоблюдения обязательных требований, а также на создание и развитие системы профилактики. </w:t>
      </w:r>
    </w:p>
    <w:p w14:paraId="0E000000">
      <w:pPr>
        <w:pStyle w:val="Style_4"/>
        <w:tabs>
          <w:tab w:leader="none" w:pos="709" w:val="left"/>
          <w:tab w:leader="none" w:pos="720" w:val="clear"/>
        </w:tabs>
        <w:spacing w:after="120" w:before="360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0F000000">
      <w:pPr>
        <w:pStyle w:val="Style_4"/>
        <w:spacing w:after="120" w:before="360"/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10000000">
      <w:pPr>
        <w:pStyle w:val="Style_4"/>
        <w:spacing w:after="280" w:before="280"/>
        <w:ind/>
        <w:contextualSpacing w:val="1"/>
        <w:jc w:val="both"/>
        <w:rPr>
          <w:rFonts w:ascii="Times New Roman" w:hAnsi="Times New Roman"/>
          <w:sz w:val="28"/>
        </w:rPr>
      </w:pPr>
    </w:p>
    <w:p w14:paraId="11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11 Федерального закона «Об объектах культурного наследия (памятниках истории и культуры) народов Российской Федерации» (далее – Закон № 73-ФЗ), Положением о комитете Ивановской области по государственной охране объектов культурного наследия, утвержденным постановлением Правительства Ивановской области от 24.12.2015 № 594-п, Положением 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наследия, утвержденным постановлением Правительства Ивановской области от 13.12.2021 № 607-п, комитет Ивановской области по государственной охране объектов культурного наследия (далее − Комитет) осуществляет региональный государственный контроль (надзор) за состоянием, содержанием, сохранением, использованием, популяризацией и государственной охраной объектов культурного наследия на территории Ивановской области.</w:t>
      </w:r>
    </w:p>
    <w:p w14:paraId="12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2022 году региональный государственный контроль (надзор) за состоянием, содержанием, сохранением, использованием, популяризацией и государственной охраной объектов культурного наследия на территории Ивановской области осуществлялся в соответствии с Федеральным законом от 31.07.2020 № 248-ФЗ «О государственном контроле (надзоре) и муниципальном контроле в Российской Федерации» и с учетом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</w:p>
    <w:p w14:paraId="13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2022 году не проводились плановые проверки, т.к. не предусмотрены действующим законодательством в указанной сфере, составлено 3 протокола об административных правонарушениях (производство по данным материалам было возбуждено до вступления в силу постановления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контроля»).</w:t>
      </w:r>
    </w:p>
    <w:p w14:paraId="14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2023 и 2024 году также не проводились плановые проверки, т.к. не предусмотрены действующим законодательством в указанной сфере.</w:t>
      </w:r>
    </w:p>
    <w:p w14:paraId="15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контрольные (надзорные) мероприятия проведены на основании программ проверок, либо без взаимодействия с контролируемыми лицами.</w:t>
      </w:r>
    </w:p>
    <w:p w14:paraId="16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период с 01.01.2024 по 30.09.2024 составлено 2 протокола об административных правонарушениях (на основании срабатывания индикаторов риска обязательных требований действующего законодательства), были приняты 30 программ проверок, проведено 27 внеплановых контрольных (надзорных) мероприятия (26 инспекционных визита и 1 рейдовый осмотр), 14 мероприятий без взаимодействия (10 в форме выездных обследований, 4 в форме наблюдения за соблюдением обязательных требований).</w:t>
      </w:r>
    </w:p>
    <w:p w14:paraId="17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рамках текущей деятельности выдано 15 предостережений о недопустимости нарушения обязательных требований.</w:t>
      </w:r>
    </w:p>
    <w:p w14:paraId="18000000">
      <w:pPr>
        <w:pStyle w:val="Style_2"/>
        <w:widowControl w:val="0"/>
        <w:spacing w:after="0" w:before="0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профилактики нарушений обязательных требований Комитетом:</w:t>
      </w:r>
    </w:p>
    <w:p w14:paraId="19000000">
      <w:pPr>
        <w:pStyle w:val="Style_2"/>
        <w:widowControl w:val="0"/>
        <w:numPr>
          <w:ilvl w:val="0"/>
          <w:numId w:val="1"/>
        </w:numPr>
        <w:tabs>
          <w:tab w:leader="none" w:pos="720" w:val="clear"/>
          <w:tab w:leader="none" w:pos="1134" w:val="left"/>
        </w:tabs>
        <w:spacing w:after="0" w:before="0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размещены на официальном сайте надзорного органа Перечни актов, содержащих обязательные требования, соблюдение которых оценивается при осуществлении соответствующего вида надзора;</w:t>
      </w:r>
    </w:p>
    <w:p w14:paraId="1A000000">
      <w:pPr>
        <w:pStyle w:val="Style_2"/>
        <w:widowControl w:val="0"/>
        <w:numPr>
          <w:ilvl w:val="0"/>
          <w:numId w:val="1"/>
        </w:numPr>
        <w:tabs>
          <w:tab w:leader="none" w:pos="720" w:val="clear"/>
          <w:tab w:leader="none" w:pos="1134" w:val="left"/>
        </w:tabs>
        <w:spacing w:after="0" w:before="0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рамках проводимых надзорных мероприятий должностными лицами комитета Ивановской области по государственной охране объектов культурного наследия юридическим лицам и индивидуальным предпринимателям оказывается методическая помощь, даются консультации, разъясняются требования законодательства.</w:t>
      </w:r>
    </w:p>
    <w:p w14:paraId="1B000000">
      <w:pPr>
        <w:pStyle w:val="Style_2"/>
        <w:widowControl w:val="0"/>
        <w:numPr>
          <w:ilvl w:val="0"/>
          <w:numId w:val="1"/>
        </w:numPr>
        <w:tabs>
          <w:tab w:leader="none" w:pos="720" w:val="clear"/>
          <w:tab w:leader="none" w:pos="1134" w:val="left"/>
        </w:tabs>
        <w:spacing w:after="0" w:before="0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обеспечено обобщение практики осуществления в соответствующей сфере деятельности государственного контроля (надзора) и размещение на официальных сайтах в сети «Интернет» соответствующих обобщений,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14:paraId="1C000000">
      <w:pPr>
        <w:pStyle w:val="Style_2"/>
        <w:widowControl w:val="0"/>
        <w:numPr>
          <w:ilvl w:val="0"/>
          <w:numId w:val="1"/>
        </w:numPr>
        <w:tabs>
          <w:tab w:leader="none" w:pos="720" w:val="clear"/>
          <w:tab w:leader="none" w:pos="1134" w:val="left"/>
        </w:tabs>
        <w:spacing w:after="0" w:before="0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организована выдача предостережений о недопустимости нарушения требований, установленных Федеральным законом от 25.06.2002 № 73-ФЗ «Об объектах культурного наследия (памятниках истории и культуры) народов Российской Федерации»,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14:paraId="1D000000">
      <w:pPr>
        <w:pStyle w:val="Style_5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результате реализации программы ожидается повышение уровня информированности подконтрольных субъектов по вопросам соблюдения обязательных требований, повышение правовой грамотности подконтрольных субъектов, формирование ответственного отношения к проблемам сохранения объектов культурного наследия и выработка внутренней мотивации к позитивному правовому поведению, что в результате должно привести к снижению количества нарушений обязательных требований и минимизации угрозы причинения вреда охраняемым законом ценностям.</w:t>
      </w:r>
    </w:p>
    <w:p w14:paraId="1E000000">
      <w:pPr>
        <w:pStyle w:val="Style_5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Типичными нарушениями обязательных требований законодательства Российской Федерации в области охраны объектов культурного наследия являются:</w:t>
      </w:r>
    </w:p>
    <w:p w14:paraId="1F000000">
      <w:pPr>
        <w:pStyle w:val="Style_5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не проведение собственником (пользователем) объекта культурного наследия работ по сохранению объекта культурного наследия при наличии необходимости проведения таких работ;</w:t>
      </w:r>
    </w:p>
    <w:p w14:paraId="20000000">
      <w:pPr>
        <w:pStyle w:val="Style_5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несвоевременное извещение органа охраны объектов культурного наследия собственником (пользователем) объекта культурного наследия органа охраны объектов культурного наследия о повреждениях, авариях (иных обстоятельствах), причинивших вред объекту культурного наследия, и непринятие мер по предотвращению дальнейшего разрушения (повреждения) такого объекта;</w:t>
      </w:r>
    </w:p>
    <w:p w14:paraId="21000000">
      <w:pPr>
        <w:pStyle w:val="Style_5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проведение работ, изменяющих предмет охраны объекта культурного наследия либо ухудшающих условия, необходимые для сохранности объекта культурного наследия (размещение кондиционеров, вывесок и пр.);</w:t>
      </w:r>
    </w:p>
    <w:p w14:paraId="22000000">
      <w:pPr>
        <w:pStyle w:val="Style_5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проведение работ по сохранению объекта культурного наследия без разрешения и согласования органа охраны объектов культурного наследия;</w:t>
      </w:r>
    </w:p>
    <w:p w14:paraId="23000000">
      <w:pPr>
        <w:pStyle w:val="Style_5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проведение строительных и иных работ вблизи объекта культурного наследия в отсутствие в проектной документации разделов, предусматривающих мероприятия по обеспечению сохранности объектов культурного наследия, согласованных органами охраны объектов культурного наследия.</w:t>
      </w:r>
    </w:p>
    <w:p w14:paraId="24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Ключевым риском при реализации Программы является различное толкование содержания обязательных требований подконтрольными субъектами, что может привести к нарушению ими обязательных требований законодательства в области охраны объектов культурного наследия.</w:t>
      </w:r>
    </w:p>
    <w:p w14:paraId="25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Комитетом в рамках организованной профилактической работы в 2024 году проводились консультации по вопросам касающихся объектов культурного наследия, по телефону, по средством электронной почты. </w:t>
      </w:r>
    </w:p>
    <w:p w14:paraId="26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Профилактическая работа осуществлялась Комитетом в течение всего 2024 года.</w:t>
      </w:r>
    </w:p>
    <w:p w14:paraId="27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</w:p>
    <w:p w14:paraId="28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Раздел 2. Цели и задачи реализации Программы </w:t>
      </w:r>
    </w:p>
    <w:p w14:paraId="29000000">
      <w:pPr>
        <w:pStyle w:val="Style_4"/>
        <w:spacing w:after="120" w:before="120"/>
        <w:ind/>
        <w:contextualSpacing w:val="1"/>
        <w:jc w:val="center"/>
        <w:rPr>
          <w:rFonts w:ascii="Times New Roman" w:hAnsi="Times New Roman"/>
          <w:sz w:val="28"/>
        </w:rPr>
      </w:pPr>
    </w:p>
    <w:p w14:paraId="2A000000">
      <w:pPr>
        <w:pStyle w:val="Style_4"/>
        <w:spacing w:after="280" w:before="120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Профилактическая работа в Комитете представляет собой системно организованную деятельность по комплексной реализации мер организационного, информационного, правового и иного характера, направленных на достижение следу</w:t>
      </w:r>
      <w:bookmarkStart w:id="1" w:name="_GoBack"/>
      <w:bookmarkEnd w:id="1"/>
      <w:r>
        <w:rPr>
          <w:rFonts w:ascii="Times New Roman" w:hAnsi="Times New Roman"/>
          <w:sz w:val="28"/>
        </w:rPr>
        <w:t>ющих основных целей:</w:t>
      </w:r>
    </w:p>
    <w:p w14:paraId="2B000000">
      <w:pPr>
        <w:pStyle w:val="Style_5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предупреждение нарушений подконтрольными субъектами обязательных требований (снижение числа нарушений обязательных требований);</w:t>
      </w:r>
    </w:p>
    <w:p w14:paraId="2C000000">
      <w:pPr>
        <w:pStyle w:val="Style_5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предотвращение причинения вреда либо угрозы причинения вреда охраняемым законом ценностям вследствие нарушений обязательных требований;</w:t>
      </w:r>
    </w:p>
    <w:p w14:paraId="2D000000">
      <w:pPr>
        <w:pStyle w:val="Style_5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повышение прозрачности деятельности Комитета при осуществлении регионального государственного контроля (надзора) за состоянием,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содержанием, сохранением, использованием, популяризацией и государственной охраной объектов культурного наследия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</w:rPr>
        <w:t>регионального значения, объектов культурного наследия местного (муниципального) значения, выявленных объектов культурного наследия;</w:t>
      </w:r>
    </w:p>
    <w:p w14:paraId="2E000000">
      <w:pPr>
        <w:pStyle w:val="Style_5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формирование моделей социально ответственного, добросовестного, правового поведения подконтрольных субъектов.</w:t>
      </w:r>
    </w:p>
    <w:p w14:paraId="2F000000">
      <w:pPr>
        <w:pStyle w:val="Style_5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достижения поставленных целей настоящей программы необходимо решение следующих задач:</w:t>
      </w:r>
    </w:p>
    <w:p w14:paraId="30000000">
      <w:pPr>
        <w:pStyle w:val="Style_5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выявление причин, факторов и условий, способствующих возможному нарушению обязательных требований;</w:t>
      </w:r>
    </w:p>
    <w:p w14:paraId="31000000">
      <w:pPr>
        <w:pStyle w:val="Style_5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устранение причин, факторов и условий, способствующих возможному нарушению обязательных требований;</w:t>
      </w:r>
    </w:p>
    <w:p w14:paraId="32000000">
      <w:pPr>
        <w:pStyle w:val="Style_5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повышение уровня правовой грамотности подконтрольных субъектов;</w:t>
      </w:r>
    </w:p>
    <w:p w14:paraId="33000000">
      <w:pPr>
        <w:pStyle w:val="Style_5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формирование единого понимания обязательных требований у всех участников отношений в области регионального государственного надзора, в том числе путем разъяснения подконтрольным субъектам обязательных требований;</w:t>
      </w:r>
    </w:p>
    <w:p w14:paraId="34000000">
      <w:pPr>
        <w:pStyle w:val="Style_5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мотивация подконтрольных субъектов к добросовестному поведению и, как следствие, снижение вреда, причиняемого охраняемым законом ценностям;</w:t>
      </w:r>
    </w:p>
    <w:p w14:paraId="35000000">
      <w:pPr>
        <w:pStyle w:val="Style_5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оценка состояния подконтрольной среды и особенностей подконтрольных субъектов (объектов);</w:t>
      </w:r>
    </w:p>
    <w:p w14:paraId="36000000">
      <w:pPr>
        <w:pStyle w:val="Style_5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профилактических мероприятий с учетом данных состояния подконтрольной среды и особенностей конкретных подконтрольных субъектов (объектов);</w:t>
      </w:r>
    </w:p>
    <w:p w14:paraId="37000000">
      <w:pPr>
        <w:pStyle w:val="Style_5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сбор и анализ статистических данных, необходимых для организации профилактической работы, в том числе для определения видов, форм и интенсивности профилактических мероприятий;</w:t>
      </w:r>
    </w:p>
    <w:p w14:paraId="38000000">
      <w:pPr>
        <w:pStyle w:val="Style_5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повышение квалификации сотрудников Комитета, уполномоченных на осуществление регионального государственного надзора;</w:t>
      </w:r>
    </w:p>
    <w:p w14:paraId="39000000">
      <w:pPr>
        <w:pStyle w:val="Style_5"/>
        <w:ind w:firstLine="54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создание системы взаимодействия между подконтрольными субъектами и Комитетом, обеспечивающей наиболее полное информирование подконтрольных субъектов по вопросам соблюдения обязательных требований и проводимой Комитетом профилактической работы, в том числе с использованием современных информационно-телекоммуникационных технологий.</w:t>
      </w:r>
    </w:p>
    <w:p w14:paraId="3A000000">
      <w:pPr>
        <w:pStyle w:val="Style_5"/>
        <w:ind w:firstLine="540" w:left="0" w:right="0"/>
        <w:jc w:val="both"/>
        <w:rPr>
          <w:rFonts w:ascii="Times New Roman" w:hAnsi="Times New Roman"/>
          <w:sz w:val="28"/>
        </w:rPr>
      </w:pPr>
    </w:p>
    <w:p w14:paraId="3B000000">
      <w:pPr>
        <w:pStyle w:val="Style_4"/>
        <w:spacing w:after="280" w:before="120"/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Раздел 3. Перечень профилактических мероприятий, сроки </w:t>
      </w:r>
    </w:p>
    <w:p w14:paraId="3C000000">
      <w:pPr>
        <w:pStyle w:val="Style_4"/>
        <w:spacing w:after="280" w:before="120"/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периодичность их проведения</w:t>
      </w:r>
    </w:p>
    <w:p w14:paraId="3D000000">
      <w:pPr>
        <w:pStyle w:val="Style_4"/>
        <w:spacing w:after="280" w:before="120"/>
        <w:ind/>
        <w:contextualSpacing w:val="1"/>
        <w:jc w:val="center"/>
        <w:rPr>
          <w:rFonts w:ascii="Times New Roman" w:hAnsi="Times New Roman"/>
          <w:sz w:val="28"/>
        </w:rPr>
      </w:pPr>
    </w:p>
    <w:tbl>
      <w:tblPr>
        <w:tblStyle w:val="Style_6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81"/>
        <w:gridCol w:w="3039"/>
        <w:gridCol w:w="3697"/>
        <w:gridCol w:w="2319"/>
      </w:tblGrid>
      <w:tr>
        <w:trPr>
          <w:trHeight w:hRule="atLeast" w:val="776"/>
        </w:trP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00000">
            <w:pPr>
              <w:pStyle w:val="Style_2"/>
              <w:widowControl w:val="0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п/п</w:t>
            </w:r>
          </w:p>
        </w:tc>
        <w:tc>
          <w:tcPr>
            <w:tcW w:type="dxa" w:w="3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00000">
            <w:pPr>
              <w:pStyle w:val="Style_2"/>
              <w:widowControl w:val="0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Наименование мероприятия</w:t>
            </w:r>
          </w:p>
        </w:tc>
        <w:tc>
          <w:tcPr>
            <w:tcW w:type="dxa" w:w="3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00000">
            <w:pPr>
              <w:pStyle w:val="Style_2"/>
              <w:widowControl w:val="0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Срок выполнения мероприятия</w:t>
            </w:r>
          </w:p>
        </w:tc>
        <w:tc>
          <w:tcPr>
            <w:tcW w:type="dxa" w:w="23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00000">
            <w:pPr>
              <w:pStyle w:val="Style_2"/>
              <w:widowControl w:val="0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Ответственный</w:t>
            </w:r>
          </w:p>
          <w:p w14:paraId="42000000">
            <w:pPr>
              <w:pStyle w:val="Style_2"/>
              <w:widowControl w:val="0"/>
              <w:spacing w:after="0" w:before="0" w:line="276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за исполнение</w:t>
            </w:r>
          </w:p>
        </w:tc>
      </w:tr>
      <w:tr>
        <w:trPr>
          <w:trHeight w:hRule="atLeast" w:val="1693"/>
        </w:trP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00000">
            <w:pPr>
              <w:pStyle w:val="Style_3"/>
              <w:widowControl w:val="0"/>
              <w:numPr>
                <w:ilvl w:val="0"/>
                <w:numId w:val="2"/>
              </w:numPr>
              <w:spacing w:after="0" w:before="60" w:line="276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pacing w:val="-6"/>
                <w:sz w:val="28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8"/>
              </w:rPr>
              <w:t>Информирование</w:t>
            </w:r>
          </w:p>
        </w:tc>
        <w:tc>
          <w:tcPr>
            <w:tcW w:type="dxa" w:w="3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0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в течение 10 дней с момента принятия нормативных правовых актов, программ, перечней, руководств и иных сведений или внесения в них изменений</w:t>
            </w:r>
          </w:p>
        </w:tc>
        <w:tc>
          <w:tcPr>
            <w:tcW w:type="dxa" w:w="23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Отдел государственного надзора и учета объектов культурного наследия Комитета Ивановской области по государственной охране объектов культурного наследия</w:t>
            </w:r>
          </w:p>
          <w:p w14:paraId="47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(далее – Отдел)</w:t>
            </w:r>
          </w:p>
        </w:tc>
      </w:tr>
      <w:t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00000">
            <w:pPr>
              <w:pStyle w:val="Style_3"/>
              <w:widowControl w:val="0"/>
              <w:numPr>
                <w:ilvl w:val="0"/>
                <w:numId w:val="2"/>
              </w:numPr>
              <w:spacing w:after="0" w:before="60" w:line="276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Обобщение правоприменительной практики</w:t>
            </w:r>
          </w:p>
        </w:tc>
        <w:tc>
          <w:tcPr>
            <w:tcW w:type="dxa" w:w="3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не позднее 1 марта года, следующего за отчетным</w:t>
            </w:r>
          </w:p>
        </w:tc>
        <w:tc>
          <w:tcPr>
            <w:tcW w:type="dxa" w:w="23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00000">
            <w:pPr>
              <w:pStyle w:val="Style_2"/>
              <w:widowControl w:val="0"/>
              <w:spacing w:after="0" w:before="6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Отдел</w:t>
            </w:r>
          </w:p>
        </w:tc>
      </w:tr>
      <w:t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00000">
            <w:pPr>
              <w:pStyle w:val="Style_3"/>
              <w:widowControl w:val="0"/>
              <w:numPr>
                <w:ilvl w:val="0"/>
                <w:numId w:val="2"/>
              </w:numPr>
              <w:spacing w:after="0" w:before="60" w:line="276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Объявление предостережения</w:t>
            </w:r>
          </w:p>
        </w:tc>
        <w:tc>
          <w:tcPr>
            <w:tcW w:type="dxa" w:w="3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8"/>
              </w:rPr>
              <w:t>не позднее 30 дней со дня получения сведений, указанных в пункте 1 статьи 49 Федерального закона от 31.07.2020 № 248-ФЗ «О государственном контроле (надзоре) и муниципальном контроле в Российской Федерации»</w:t>
            </w:r>
          </w:p>
        </w:tc>
        <w:tc>
          <w:tcPr>
            <w:tcW w:type="dxa" w:w="23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00000">
            <w:pPr>
              <w:pStyle w:val="Style_2"/>
              <w:widowControl w:val="0"/>
              <w:spacing w:after="0" w:before="6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color w:val="FF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Отдел</w:t>
            </w:r>
          </w:p>
        </w:tc>
      </w:tr>
      <w:t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00000">
            <w:pPr>
              <w:pStyle w:val="Style_3"/>
              <w:widowControl w:val="0"/>
              <w:numPr>
                <w:ilvl w:val="0"/>
                <w:numId w:val="2"/>
              </w:numPr>
              <w:spacing w:after="0" w:before="60" w:line="276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Консультирование:</w:t>
            </w:r>
          </w:p>
          <w:p w14:paraId="52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- по телефону;</w:t>
            </w:r>
          </w:p>
          <w:p w14:paraId="53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- посредством видео-конференц-связи;</w:t>
            </w:r>
          </w:p>
          <w:p w14:paraId="54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- на личном приеме;</w:t>
            </w:r>
          </w:p>
          <w:p w14:paraId="55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- в ходе проведения профилактического мероприятия, контрольного мероприятия.</w:t>
            </w:r>
          </w:p>
          <w:p w14:paraId="56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Консультирование осуществляется по следующим вопросам:</w:t>
            </w:r>
          </w:p>
          <w:p w14:paraId="57000000">
            <w:pPr>
              <w:pStyle w:val="Style_2"/>
              <w:widowControl w:val="0"/>
              <w:numPr>
                <w:ilvl w:val="0"/>
                <w:numId w:val="3"/>
              </w:numPr>
              <w:tabs>
                <w:tab w:leader="none" w:pos="316" w:val="left"/>
                <w:tab w:leader="none" w:pos="720" w:val="clear"/>
              </w:tabs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 порядке исполнения обязательных требований;</w:t>
            </w:r>
          </w:p>
          <w:p w14:paraId="58000000">
            <w:pPr>
              <w:pStyle w:val="Style_2"/>
              <w:widowControl w:val="0"/>
              <w:numPr>
                <w:ilvl w:val="0"/>
                <w:numId w:val="3"/>
              </w:numPr>
              <w:tabs>
                <w:tab w:leader="none" w:pos="316" w:val="left"/>
                <w:tab w:leader="none" w:pos="720" w:val="clear"/>
              </w:tabs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 порядке исполнения выданного Комитетом предписания, объявленного Комитетом предостережения;</w:t>
            </w:r>
          </w:p>
          <w:p w14:paraId="59000000">
            <w:pPr>
              <w:pStyle w:val="Style_2"/>
              <w:widowControl w:val="0"/>
              <w:tabs>
                <w:tab w:leader="none" w:pos="316" w:val="left"/>
                <w:tab w:leader="none" w:pos="720" w:val="clear"/>
              </w:tabs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3)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ab/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 вопросам, связанным с организацией и осуществлением регионального государственного контроля (надзора) в отношении объекта контроля, собственником или иным законным владельцем которого является контролируемое лицо, обратившееся за консультированием.</w:t>
            </w:r>
          </w:p>
          <w:p w14:paraId="5A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Консультирование по вопросу порядка исполнения выданного Комитетом предписания, объявленного Комитетом предостережения осуществляется в письменном виде.</w:t>
            </w:r>
          </w:p>
        </w:tc>
        <w:tc>
          <w:tcPr>
            <w:tcW w:type="dxa" w:w="3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00000">
            <w:pPr>
              <w:pStyle w:val="Style_2"/>
              <w:widowControl w:val="0"/>
              <w:spacing w:after="0" w:before="6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ежедневно,</w:t>
            </w:r>
          </w:p>
          <w:p w14:paraId="5C000000">
            <w:pPr>
              <w:pStyle w:val="Style_2"/>
              <w:widowControl w:val="0"/>
              <w:spacing w:after="0" w:before="6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кроме выходных и праздничных дней</w:t>
            </w:r>
          </w:p>
          <w:p w14:paraId="5D000000">
            <w:pPr>
              <w:pStyle w:val="Style_2"/>
              <w:widowControl w:val="0"/>
              <w:spacing w:after="0" w:before="6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 09:00 до 18:00</w:t>
            </w:r>
          </w:p>
          <w:p w14:paraId="5E000000">
            <w:pPr>
              <w:pStyle w:val="Style_2"/>
              <w:widowControl w:val="0"/>
              <w:spacing w:after="0" w:before="6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(в пятницу – с 09:00 до 16:45),</w:t>
            </w:r>
          </w:p>
          <w:p w14:paraId="5F000000">
            <w:pPr>
              <w:pStyle w:val="Style_2"/>
              <w:widowControl w:val="0"/>
              <w:spacing w:after="0" w:before="6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перерыв с 13:00 до 13:45</w:t>
            </w:r>
          </w:p>
        </w:tc>
        <w:tc>
          <w:tcPr>
            <w:tcW w:type="dxa" w:w="23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00000">
            <w:pPr>
              <w:pStyle w:val="Style_5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Отдел</w:t>
            </w:r>
          </w:p>
        </w:tc>
      </w:tr>
      <w:tr>
        <w:tc>
          <w:tcPr>
            <w:tcW w:type="dxa" w:w="5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00000">
            <w:pPr>
              <w:pStyle w:val="Style_3"/>
              <w:widowControl w:val="0"/>
              <w:numPr>
                <w:ilvl w:val="0"/>
                <w:numId w:val="2"/>
              </w:numPr>
              <w:spacing w:after="0" w:before="60" w:line="276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0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Профилактический визит</w:t>
            </w:r>
          </w:p>
        </w:tc>
        <w:tc>
          <w:tcPr>
            <w:tcW w:type="dxa" w:w="36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00000">
            <w:pPr>
              <w:pStyle w:val="Style_2"/>
              <w:widowControl w:val="0"/>
              <w:spacing w:after="0" w:before="6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IV квартал (мероприятия проводятся наличии оснований, предусмотренных Федеральным законом              от 31.07.2020 № 248-ФЗ                 «О государственном контроле (надзоре)                         и муниципальном контроле  в Российской Федерации»             и постановлением Правительства Ивановской области от 13.12.2021                  № 607-п «О региональном государственном контроле (надзоре) за состоянием, содержанием, сохранением, использованием, популяризацией                            и государственной охраной объектов культурного наследия» </w:t>
            </w:r>
          </w:p>
          <w:p w14:paraId="64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2"/>
              </w:rPr>
            </w:pPr>
          </w:p>
        </w:tc>
        <w:tc>
          <w:tcPr>
            <w:tcW w:type="dxa" w:w="23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00000">
            <w:pPr>
              <w:pStyle w:val="Style_5"/>
              <w:widowControl w:val="0"/>
              <w:spacing w:after="0" w:before="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Отдел</w:t>
            </w:r>
          </w:p>
        </w:tc>
      </w:tr>
    </w:tbl>
    <w:p w14:paraId="66000000">
      <w:pPr>
        <w:pStyle w:val="Style_4"/>
        <w:spacing w:after="280" w:before="280"/>
        <w:ind/>
        <w:contextualSpacing w:val="1"/>
        <w:jc w:val="both"/>
        <w:rPr>
          <w:rFonts w:ascii="Times New Roman" w:hAnsi="Times New Roman"/>
          <w:sz w:val="28"/>
        </w:rPr>
      </w:pPr>
    </w:p>
    <w:p w14:paraId="67000000">
      <w:pPr>
        <w:pStyle w:val="Style_4"/>
        <w:spacing w:after="280" w:before="120"/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Раздел 4. Показатели результативности и эффективности </w:t>
      </w:r>
    </w:p>
    <w:p w14:paraId="68000000">
      <w:pPr>
        <w:pStyle w:val="Style_4"/>
        <w:spacing w:after="280" w:before="120"/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Программы профилактики</w:t>
      </w:r>
    </w:p>
    <w:p w14:paraId="69000000">
      <w:pPr>
        <w:pStyle w:val="Style_4"/>
        <w:spacing w:after="280" w:before="120"/>
        <w:ind/>
        <w:contextualSpacing w:val="1"/>
        <w:jc w:val="center"/>
        <w:rPr>
          <w:rFonts w:ascii="Times New Roman" w:hAnsi="Times New Roman"/>
          <w:sz w:val="28"/>
        </w:rPr>
      </w:pPr>
    </w:p>
    <w:p w14:paraId="6A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Основными критериями оценки эффективности и результативности профилактических мероприятий являются:</w:t>
      </w:r>
    </w:p>
    <w:p w14:paraId="6B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результативность деятельности Комитета;</w:t>
      </w:r>
    </w:p>
    <w:p w14:paraId="6C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информированность контролируемых лиц об обязательных требованиях, о принятых и готовящихся изменениях в системе обязательных требований, о порядке проведения мероприятий по контролю, правах контролируемых лиц в ходе мероприятий по контролю;</w:t>
      </w:r>
    </w:p>
    <w:p w14:paraId="6D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понятность обязательных требований контролируемым лицам;</w:t>
      </w:r>
    </w:p>
    <w:p w14:paraId="6E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вовлечение контролируемых лиц во взаимодействие с Комитетом, в том числе в рамках проводимых профилактических мероприятий.</w:t>
      </w:r>
    </w:p>
    <w:p w14:paraId="6F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 эффективности и результативности профилактических мероприятий осуществляется в ходе анализа выполнения мероприятий Программы профилактики по следующим индикативным показателям:</w:t>
      </w:r>
    </w:p>
    <w:p w14:paraId="70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количество проведенных профилактических мероприятий, ед.;</w:t>
      </w:r>
    </w:p>
    <w:p w14:paraId="71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количество докладов по профилактике нарушений обязательных требований, размещенных на официальном сайте Комитета в информационно-телекоммуникационной сети Интернет, ед.;</w:t>
      </w:r>
    </w:p>
    <w:p w14:paraId="72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количество контролируемых лиц, в отношении которых проведены профилактические мероприятия, ед.;</w:t>
      </w:r>
    </w:p>
    <w:p w14:paraId="73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наличие на официальном сайте Комитета в информационно-телекоммуникационной сети Интернет актуального перечня актов, содержащих обязательные требования, соблюдение которых оценивается при проведении мероприятий по контролю;</w:t>
      </w:r>
    </w:p>
    <w:p w14:paraId="74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количество консультаций, оказанных контролируемым лицам по вопросам соблюдения обязательных требований, содержащихся в нормативных правовых актах, ед.;</w:t>
      </w:r>
    </w:p>
    <w:p w14:paraId="75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количество обобщений практики осуществления регионального государственного контроля (надзора), размещенных на официальном сайте Комитета в информационно-телекоммуникационной сети Интернет, ед.;</w:t>
      </w:r>
    </w:p>
    <w:p w14:paraId="76000000">
      <w:pPr>
        <w:pStyle w:val="Style_2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Результаты оценки эффективности и результативности профилактических мероприятий отражаются в докладе об итогах профилактической работы, проведенной комитетом.</w:t>
      </w:r>
    </w:p>
    <w:p w14:paraId="77000000">
      <w:pPr>
        <w:pStyle w:val="Style_2"/>
        <w:ind w:firstLine="709" w:left="0" w:right="0"/>
        <w:jc w:val="both"/>
        <w:rPr>
          <w:rFonts w:ascii="Times New Roman" w:hAnsi="Times New Roman"/>
          <w:sz w:val="16"/>
        </w:rPr>
      </w:pPr>
    </w:p>
    <w:p w14:paraId="78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Показатели </w:t>
      </w:r>
    </w:p>
    <w:p w14:paraId="79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эффективности и результативности профилактических мероприятий </w:t>
      </w:r>
    </w:p>
    <w:p w14:paraId="7A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2025 году</w:t>
      </w:r>
    </w:p>
    <w:p w14:paraId="7B000000">
      <w:pPr>
        <w:pStyle w:val="Style_2"/>
        <w:ind/>
        <w:jc w:val="center"/>
        <w:rPr>
          <w:rFonts w:ascii="Times New Roman" w:hAnsi="Times New Roman"/>
          <w:sz w:val="16"/>
        </w:rPr>
      </w:pPr>
    </w:p>
    <w:tbl>
      <w:tblPr>
        <w:tblStyle w:val="Style_6"/>
        <w:tblInd w:type="dxa" w:w="62"/>
        <w:tblLayout w:type="fixed"/>
        <w:tblCellMar>
          <w:top w:type="dxa" w:w="57"/>
          <w:left w:type="dxa" w:w="62"/>
          <w:bottom w:type="dxa" w:w="57"/>
          <w:right w:type="dxa" w:w="62"/>
        </w:tblCellMar>
      </w:tblPr>
      <w:tblGrid>
        <w:gridCol w:w="510"/>
        <w:gridCol w:w="7074"/>
        <w:gridCol w:w="1988"/>
      </w:tblGrid>
      <w:t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62"/>
              <w:bottom w:type="dxa" w:w="57"/>
              <w:right w:type="dxa" w:w="62"/>
            </w:tcMar>
            <w:vAlign w:val="center"/>
          </w:tcPr>
          <w:p w14:paraId="7C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п/п</w:t>
            </w:r>
          </w:p>
        </w:tc>
        <w:tc>
          <w:tcPr>
            <w:tcW w:type="dxa" w:w="7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62"/>
              <w:bottom w:type="dxa" w:w="57"/>
              <w:right w:type="dxa" w:w="62"/>
            </w:tcMar>
            <w:vAlign w:val="center"/>
          </w:tcPr>
          <w:p w14:paraId="7D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Наименование показателя</w:t>
            </w:r>
          </w:p>
        </w:tc>
        <w:tc>
          <w:tcPr>
            <w:tcW w:type="dxa" w:w="1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62"/>
              <w:bottom w:type="dxa" w:w="57"/>
              <w:right w:type="dxa" w:w="62"/>
            </w:tcMar>
            <w:vAlign w:val="center"/>
          </w:tcPr>
          <w:p w14:paraId="7E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Величина</w:t>
            </w:r>
          </w:p>
        </w:tc>
      </w:tr>
      <w:tr>
        <w:trPr>
          <w:trHeight w:hRule="atLeast" w:val="613"/>
        </w:trP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62"/>
              <w:bottom w:type="dxa" w:w="57"/>
              <w:right w:type="dxa" w:w="62"/>
            </w:tcMar>
          </w:tcPr>
          <w:p w14:paraId="7F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1.</w:t>
            </w:r>
          </w:p>
        </w:tc>
        <w:tc>
          <w:tcPr>
            <w:tcW w:type="dxa" w:w="7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62"/>
              <w:bottom w:type="dxa" w:w="57"/>
              <w:right w:type="dxa" w:w="62"/>
            </w:tcMar>
          </w:tcPr>
          <w:p w14:paraId="8000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Полнота информации, размещаемая на официальном сайте Комитета в информационно-телекоммуникационной сети Интернет в соответствии с пунктом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type="dxa" w:w="1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62"/>
              <w:bottom w:type="dxa" w:w="57"/>
              <w:right w:type="dxa" w:w="62"/>
            </w:tcMar>
            <w:vAlign w:val="center"/>
          </w:tcPr>
          <w:p w14:paraId="8100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100%</w:t>
            </w:r>
          </w:p>
        </w:tc>
      </w:tr>
      <w:t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62"/>
              <w:bottom w:type="dxa" w:w="57"/>
              <w:right w:type="dxa" w:w="62"/>
            </w:tcMar>
          </w:tcPr>
          <w:p w14:paraId="82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2.</w:t>
            </w:r>
          </w:p>
        </w:tc>
        <w:tc>
          <w:tcPr>
            <w:tcW w:type="dxa" w:w="7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62"/>
              <w:bottom w:type="dxa" w:w="57"/>
              <w:right w:type="dxa" w:w="62"/>
            </w:tcMar>
          </w:tcPr>
          <w:p w14:paraId="83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Удовлетворенность доступностью на официальном сайте Комитета в информационно-телекоммуникационной сети Интернет для контролируемых лиц информации о принятых и готовящихся изменениях обязательных требований</w:t>
            </w:r>
          </w:p>
        </w:tc>
        <w:tc>
          <w:tcPr>
            <w:tcW w:type="dxa" w:w="1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62"/>
              <w:bottom w:type="dxa" w:w="57"/>
              <w:right w:type="dxa" w:w="62"/>
            </w:tcMar>
            <w:vAlign w:val="center"/>
          </w:tcPr>
          <w:p w14:paraId="84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не менее 80%</w:t>
            </w:r>
          </w:p>
        </w:tc>
      </w:tr>
      <w:t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62"/>
              <w:bottom w:type="dxa" w:w="57"/>
              <w:right w:type="dxa" w:w="62"/>
            </w:tcMar>
          </w:tcPr>
          <w:p w14:paraId="85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3.</w:t>
            </w:r>
          </w:p>
        </w:tc>
        <w:tc>
          <w:tcPr>
            <w:tcW w:type="dxa" w:w="7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62"/>
              <w:bottom w:type="dxa" w:w="57"/>
              <w:right w:type="dxa" w:w="62"/>
            </w:tcMar>
          </w:tcPr>
          <w:p w14:paraId="86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Проведение профилактических мероприятий, предусмотренных перечнем, в соответствии со сроками (периодичностью) их проведения</w:t>
            </w:r>
          </w:p>
        </w:tc>
        <w:tc>
          <w:tcPr>
            <w:tcW w:type="dxa" w:w="1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62"/>
              <w:bottom w:type="dxa" w:w="57"/>
              <w:right w:type="dxa" w:w="62"/>
            </w:tcMar>
            <w:vAlign w:val="center"/>
          </w:tcPr>
          <w:p w14:paraId="87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100%</w:t>
            </w:r>
          </w:p>
        </w:tc>
      </w:tr>
      <w:t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62"/>
              <w:bottom w:type="dxa" w:w="57"/>
              <w:right w:type="dxa" w:w="62"/>
            </w:tcMar>
          </w:tcPr>
          <w:p w14:paraId="88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4.</w:t>
            </w:r>
          </w:p>
        </w:tc>
        <w:tc>
          <w:tcPr>
            <w:tcW w:type="dxa" w:w="70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62"/>
              <w:bottom w:type="dxa" w:w="57"/>
              <w:right w:type="dxa" w:w="62"/>
            </w:tcMar>
          </w:tcPr>
          <w:p w14:paraId="89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Количество проведенных профилактических мероприятий</w:t>
            </w:r>
          </w:p>
        </w:tc>
        <w:tc>
          <w:tcPr>
            <w:tcW w:type="dxa" w:w="1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62"/>
              <w:bottom w:type="dxa" w:w="57"/>
              <w:right w:type="dxa" w:w="62"/>
            </w:tcMar>
            <w:vAlign w:val="center"/>
          </w:tcPr>
          <w:p w14:paraId="8A000000">
            <w:pPr>
              <w:pStyle w:val="Style_2"/>
              <w:widowControl w:val="0"/>
              <w:spacing w:after="60" w:before="60" w:line="240" w:lineRule="auto"/>
              <w:ind w:firstLine="0" w:left="0" w:right="0"/>
              <w:contextualSpacing w:val="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не менее 5</w:t>
            </w:r>
          </w:p>
        </w:tc>
      </w:tr>
    </w:tbl>
    <w:p w14:paraId="8B000000">
      <w:pPr>
        <w:pStyle w:val="Style_2"/>
        <w:ind/>
        <w:jc w:val="both"/>
        <w:rPr>
          <w:rFonts w:ascii="Times New Roman" w:hAnsi="Times New Roman"/>
        </w:rPr>
      </w:pPr>
    </w:p>
    <w:sectPr>
      <w:headerReference r:id="rId1" w:type="default"/>
      <w:type w:val="nextPage"/>
      <w:pgSz w:h="16838" w:orient="portrait" w:w="11906"/>
      <w:pgMar w:bottom="993" w:footer="0" w:gutter="0" w:header="709" w:left="1418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90295" cy="17399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090295" cy="1739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2"/>
                            <w:rPr>
                              <w:color w:val="000000"/>
                              <w:spacing w:val="0"/>
                            </w:rPr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1090295" cy="17526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09029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03000000">
                          <w:pPr>
                            <w:pStyle w:val="Style_2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4000000">
    <w:pPr>
      <w:pStyle w:val="Style_1"/>
      <w:ind/>
      <w:jc w:val="center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360" w:left="360"/>
      </w:pPr>
    </w:lvl>
    <w:lvl w:ilvl="1">
      <w:start w:val="1"/>
      <w:numFmt w:val="decimal"/>
      <w:lvlText w:val="%1.%2."/>
      <w:lvlJc w:val="left"/>
      <w:pPr>
        <w:tabs>
          <w:tab w:leader="none" w:pos="0" w:val="left"/>
        </w:tabs>
        <w:ind w:hanging="430" w:left="790"/>
      </w:pPr>
    </w:lvl>
    <w:lvl w:ilvl="2">
      <w:start w:val="1"/>
      <w:numFmt w:val="decimal"/>
      <w:lvlText w:val="%1.%2.%3."/>
      <w:lvlJc w:val="left"/>
      <w:pPr>
        <w:tabs>
          <w:tab w:leader="none" w:pos="0" w:val="left"/>
        </w:tabs>
        <w:ind w:hanging="505" w:left="1225"/>
      </w:pPr>
    </w:lvl>
    <w:lvl w:ilvl="3">
      <w:start w:val="1"/>
      <w:numFmt w:val="decimal"/>
      <w:lvlText w:val="%1.%2.%3.%4."/>
      <w:lvlJc w:val="left"/>
      <w:pPr>
        <w:tabs>
          <w:tab w:leader="none" w:pos="0" w:val="left"/>
        </w:tabs>
        <w:ind w:hanging="650" w:left="1730"/>
      </w:pPr>
    </w:lvl>
    <w:lvl w:ilvl="4">
      <w:start w:val="1"/>
      <w:numFmt w:val="decimal"/>
      <w:lvlText w:val="%1.%2.%3.%4.%5."/>
      <w:lvlJc w:val="left"/>
      <w:pPr>
        <w:tabs>
          <w:tab w:leader="none" w:pos="0" w:val="left"/>
        </w:tabs>
        <w:ind w:hanging="790" w:left="2230"/>
      </w:pPr>
    </w:lvl>
    <w:lvl w:ilvl="5">
      <w:start w:val="1"/>
      <w:numFmt w:val="decimal"/>
      <w:lvlText w:val="%1.%2.%3.%4.%5.%6."/>
      <w:lvlJc w:val="left"/>
      <w:pPr>
        <w:tabs>
          <w:tab w:leader="none" w:pos="0" w:val="left"/>
        </w:tabs>
        <w:ind w:hanging="935" w:left="2735"/>
      </w:pPr>
    </w:lvl>
    <w:lvl w:ilvl="6">
      <w:start w:val="1"/>
      <w:numFmt w:val="decimal"/>
      <w:lvlText w:val="%1.%2.%3.%4.%5.%6.%7."/>
      <w:lvlJc w:val="left"/>
      <w:pPr>
        <w:tabs>
          <w:tab w:leader="none" w:pos="0" w:val="left"/>
        </w:tabs>
        <w:ind w:hanging="1080" w:left="3240"/>
      </w:pPr>
    </w:lvl>
    <w:lvl w:ilvl="7">
      <w:start w:val="1"/>
      <w:numFmt w:val="decimal"/>
      <w:lvlText w:val="%1.%2.%3.%4.%5.%6.%7.%8."/>
      <w:lvlJc w:val="left"/>
      <w:pPr>
        <w:tabs>
          <w:tab w:leader="none" w:pos="0" w:val="left"/>
        </w:tabs>
        <w:ind w:hanging="1225" w:left="3745"/>
      </w:pPr>
    </w:lvl>
    <w:lvl w:ilvl="8">
      <w:start w:val="1"/>
      <w:numFmt w:val="decimal"/>
      <w:lvlText w:val="%1.%2.%3.%4.%5.%6.%7.%8.%9."/>
      <w:lvlJc w:val="left"/>
      <w:pPr>
        <w:tabs>
          <w:tab w:leader="none" w:pos="0" w:val="left"/>
        </w:tabs>
        <w:ind w:hanging="1440" w:left="432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360" w:left="786"/>
      </w:p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180" w:left="648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leader="none" w:pos="0" w:val="left"/>
        </w:tabs>
        <w:ind w:hanging="705" w:left="1414"/>
      </w:p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1789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180" w:left="2509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3229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3949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180" w:left="4669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389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6109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180" w:left="6829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default="1" w:styleId="Style_2_ch" w:type="character">
    <w:name w:val="Normal"/>
    <w:link w:val="Style_2"/>
    <w:rPr>
      <w:rFonts w:ascii="Times New Roman" w:hAnsi="Times New Roman"/>
      <w:color w:val="000000"/>
      <w:spacing w:val="0"/>
      <w:sz w:val="24"/>
    </w:rPr>
  </w:style>
  <w:style w:styleId="Style_7" w:type="paragraph">
    <w:name w:val="Heading 5"/>
    <w:link w:val="Style_7_ch"/>
    <w:rPr>
      <w:rFonts w:ascii="XO Thames" w:hAnsi="XO Thames"/>
      <w:b w:val="1"/>
    </w:rPr>
  </w:style>
  <w:style w:styleId="Style_7_ch" w:type="character">
    <w:name w:val="Heading 5"/>
    <w:link w:val="Style_7"/>
    <w:rPr>
      <w:rFonts w:ascii="XO Thames" w:hAnsi="XO Thames"/>
      <w:b w:val="1"/>
    </w:rPr>
  </w:style>
  <w:style w:styleId="Style_8" w:type="paragraph">
    <w:name w:val="toc 2"/>
    <w:next w:val="Style_2"/>
    <w:link w:val="Style_8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8_ch" w:type="character">
    <w:name w:val="toc 2"/>
    <w:link w:val="Style_8"/>
    <w:rPr>
      <w:rFonts w:ascii="XO Thames" w:hAnsi="XO Thames"/>
      <w:color w:val="000000"/>
      <w:spacing w:val="0"/>
      <w:sz w:val="28"/>
    </w:rPr>
  </w:style>
  <w:style w:styleId="Style_9" w:type="paragraph">
    <w:name w:val="toc 4"/>
    <w:next w:val="Style_2"/>
    <w:link w:val="Style_9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4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Заголовок 31"/>
    <w:link w:val="Style_1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10_ch" w:type="character">
    <w:name w:val="Заголовок 31"/>
    <w:link w:val="Style_10"/>
    <w:rPr>
      <w:rFonts w:ascii="XO Thames" w:hAnsi="XO Thames"/>
      <w:b w:val="1"/>
      <w:color w:val="000000"/>
      <w:spacing w:val="0"/>
      <w:sz w:val="26"/>
    </w:rPr>
  </w:style>
  <w:style w:styleId="Style_11" w:type="paragraph">
    <w:name w:val="Подзаголовок1"/>
    <w:link w:val="Style_1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1_ch" w:type="character">
    <w:name w:val="Подзаголовок1"/>
    <w:link w:val="Style_11"/>
    <w:rPr>
      <w:rFonts w:ascii="XO Thames" w:hAnsi="XO Thames"/>
      <w:i w:val="1"/>
      <w:color w:val="000000"/>
      <w:spacing w:val="0"/>
      <w:sz w:val="24"/>
    </w:rPr>
  </w:style>
  <w:style w:styleId="Style_12" w:type="paragraph">
    <w:name w:val="toc 6"/>
    <w:next w:val="Style_2"/>
    <w:link w:val="Style_12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6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toc 7"/>
    <w:next w:val="Style_2"/>
    <w:link w:val="Style_13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3_ch" w:type="character">
    <w:name w:val="toc 7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Заголовок 11"/>
    <w:link w:val="Style_1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8"/>
    </w:rPr>
  </w:style>
  <w:style w:styleId="Style_14_ch" w:type="character">
    <w:name w:val="Заголовок 11"/>
    <w:link w:val="Style_14"/>
    <w:rPr>
      <w:rFonts w:asciiTheme="minorAscii" w:hAnsiTheme="minorHAnsi"/>
      <w:color w:val="000000"/>
      <w:spacing w:val="0"/>
      <w:sz w:val="28"/>
    </w:rPr>
  </w:style>
  <w:style w:styleId="Style_15" w:type="paragraph">
    <w:name w:val="Body Text"/>
    <w:basedOn w:val="Style_2"/>
    <w:link w:val="Style_15_ch"/>
    <w:pPr>
      <w:spacing w:after="140" w:before="0" w:line="276" w:lineRule="auto"/>
      <w:ind/>
    </w:pPr>
  </w:style>
  <w:style w:styleId="Style_15_ch" w:type="character">
    <w:name w:val="Body Text"/>
    <w:basedOn w:val="Style_2_ch"/>
    <w:link w:val="Style_15"/>
  </w:style>
  <w:style w:styleId="Style_1" w:type="paragraph">
    <w:name w:val="Header"/>
    <w:basedOn w:val="Style_2"/>
    <w:link w:val="Style_1_ch"/>
    <w:pPr>
      <w:tabs>
        <w:tab w:leader="none" w:pos="720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6" w:type="paragraph">
    <w:name w:val="Caption"/>
    <w:basedOn w:val="Style_2"/>
    <w:link w:val="Style_16_ch"/>
    <w:pPr>
      <w:spacing w:after="120" w:before="120"/>
      <w:ind/>
    </w:pPr>
    <w:rPr>
      <w:rFonts w:ascii="PT Astra Serif" w:hAnsi="PT Astra Serif"/>
      <w:i w:val="1"/>
      <w:sz w:val="24"/>
    </w:rPr>
  </w:style>
  <w:style w:styleId="Style_16_ch" w:type="character">
    <w:name w:val="Caption"/>
    <w:basedOn w:val="Style_2_ch"/>
    <w:link w:val="Style_16"/>
    <w:rPr>
      <w:rFonts w:ascii="PT Astra Serif" w:hAnsi="PT Astra Serif"/>
      <w:i w:val="1"/>
      <w:sz w:val="24"/>
    </w:rPr>
  </w:style>
  <w:style w:styleId="Style_17" w:type="paragraph">
    <w:name w:val="Contents 7"/>
    <w:link w:val="Style_1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7_ch" w:type="character">
    <w:name w:val="Contents 7"/>
    <w:link w:val="Style_17"/>
    <w:rPr>
      <w:rFonts w:ascii="XO Thames" w:hAnsi="XO Thames"/>
      <w:color w:val="000000"/>
      <w:spacing w:val="0"/>
      <w:sz w:val="28"/>
    </w:rPr>
  </w:style>
  <w:style w:styleId="Style_18" w:type="paragraph">
    <w:name w:val="Интернет-ссылка"/>
    <w:link w:val="Style_18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18_ch" w:type="character">
    <w:name w:val="Интернет-ссылка"/>
    <w:link w:val="Style_18"/>
    <w:rPr>
      <w:rFonts w:ascii="Calibri" w:hAnsi="Calibri"/>
      <w:color w:val="0000FF"/>
      <w:spacing w:val="0"/>
      <w:sz w:val="22"/>
      <w:u w:val="single"/>
    </w:rPr>
  </w:style>
  <w:style w:styleId="Style_4" w:type="paragraph">
    <w:name w:val="Normal (Web)"/>
    <w:basedOn w:val="Style_2"/>
    <w:link w:val="Style_4_ch"/>
    <w:pPr>
      <w:spacing w:afterAutospacing="on" w:beforeAutospacing="on"/>
      <w:ind/>
    </w:pPr>
  </w:style>
  <w:style w:styleId="Style_4_ch" w:type="character">
    <w:name w:val="Normal (Web)"/>
    <w:basedOn w:val="Style_2_ch"/>
    <w:link w:val="Style_4"/>
  </w:style>
  <w:style w:styleId="Style_19" w:type="paragraph">
    <w:name w:val="heading 3"/>
    <w:next w:val="Style_2"/>
    <w:link w:val="Style_19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19_ch" w:type="character">
    <w:name w:val="heading 3"/>
    <w:link w:val="Style_19"/>
    <w:rPr>
      <w:rFonts w:ascii="XO Thames" w:hAnsi="XO Thames"/>
      <w:b w:val="1"/>
      <w:color w:val="000000"/>
      <w:spacing w:val="0"/>
      <w:sz w:val="26"/>
    </w:rPr>
  </w:style>
  <w:style w:styleId="Style_20" w:type="paragraph">
    <w:name w:val="Указатель"/>
    <w:basedOn w:val="Style_2"/>
    <w:link w:val="Style_20_ch"/>
    <w:rPr>
      <w:rFonts w:ascii="PT Astra Serif" w:hAnsi="PT Astra Serif"/>
    </w:rPr>
  </w:style>
  <w:style w:styleId="Style_20_ch" w:type="character">
    <w:name w:val="Указатель"/>
    <w:basedOn w:val="Style_2_ch"/>
    <w:link w:val="Style_20"/>
    <w:rPr>
      <w:rFonts w:ascii="PT Astra Serif" w:hAnsi="PT Astra Serif"/>
    </w:rPr>
  </w:style>
  <w:style w:styleId="Style_21" w:type="paragraph">
    <w:name w:val="Contents 6"/>
    <w:link w:val="Style_2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1_ch" w:type="character">
    <w:name w:val="Contents 6"/>
    <w:link w:val="Style_21"/>
    <w:rPr>
      <w:rFonts w:ascii="XO Thames" w:hAnsi="XO Thames"/>
      <w:color w:val="000000"/>
      <w:spacing w:val="0"/>
      <w:sz w:val="28"/>
    </w:rPr>
  </w:style>
  <w:style w:styleId="Style_22" w:type="paragraph">
    <w:name w:val="Верхний и нижний колонтитулы"/>
    <w:link w:val="Style_2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0"/>
    </w:rPr>
  </w:style>
  <w:style w:styleId="Style_22_ch" w:type="character">
    <w:name w:val="Верхний и нижний колонтитулы"/>
    <w:link w:val="Style_22"/>
    <w:rPr>
      <w:rFonts w:ascii="XO Thames" w:hAnsi="XO Thames"/>
      <w:color w:val="000000"/>
      <w:spacing w:val="0"/>
      <w:sz w:val="20"/>
    </w:rPr>
  </w:style>
  <w:style w:styleId="Style_23" w:type="paragraph">
    <w:name w:val="Heading 1"/>
    <w:link w:val="Style_23_ch"/>
    <w:rPr>
      <w:sz w:val="28"/>
    </w:rPr>
  </w:style>
  <w:style w:styleId="Style_23_ch" w:type="character">
    <w:name w:val="Heading 1"/>
    <w:link w:val="Style_23"/>
    <w:rPr>
      <w:sz w:val="28"/>
    </w:rPr>
  </w:style>
  <w:style w:styleId="Style_24" w:type="paragraph">
    <w:name w:val="Contents 4"/>
    <w:link w:val="Style_2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4_ch" w:type="character">
    <w:name w:val="Contents 4"/>
    <w:link w:val="Style_24"/>
    <w:rPr>
      <w:rFonts w:ascii="XO Thames" w:hAnsi="XO Thames"/>
      <w:color w:val="000000"/>
      <w:spacing w:val="0"/>
      <w:sz w:val="28"/>
    </w:rPr>
  </w:style>
  <w:style w:styleId="Style_25" w:type="paragraph">
    <w:name w:val="Text body"/>
    <w:link w:val="Style_2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5_ch" w:type="character">
    <w:name w:val="Text body"/>
    <w:link w:val="Style_25"/>
    <w:rPr>
      <w:rFonts w:asciiTheme="minorAscii" w:hAnsiTheme="minorHAnsi"/>
      <w:color w:val="000000"/>
      <w:spacing w:val="0"/>
      <w:sz w:val="22"/>
    </w:rPr>
  </w:style>
  <w:style w:styleId="Style_26" w:type="paragraph">
    <w:name w:val="Contents 5"/>
    <w:link w:val="Style_2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6_ch" w:type="character">
    <w:name w:val="Contents 5"/>
    <w:link w:val="Style_26"/>
    <w:rPr>
      <w:rFonts w:ascii="XO Thames" w:hAnsi="XO Thames"/>
      <w:color w:val="000000"/>
      <w:spacing w:val="0"/>
      <w:sz w:val="28"/>
    </w:rPr>
  </w:style>
  <w:style w:styleId="Style_27" w:type="paragraph">
    <w:name w:val="Title"/>
    <w:next w:val="Style_2"/>
    <w:link w:val="Style_27_ch"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color w:val="000000"/>
      <w:spacing w:val="0"/>
      <w:sz w:val="40"/>
    </w:rPr>
  </w:style>
  <w:style w:styleId="Style_3" w:type="paragraph">
    <w:name w:val="List Paragraph"/>
    <w:basedOn w:val="Style_2"/>
    <w:link w:val="Style_3_ch"/>
    <w:pPr>
      <w:spacing w:after="0" w:before="0"/>
      <w:ind w:firstLine="0" w:left="720" w:right="0"/>
      <w:contextualSpacing w:val="1"/>
    </w:pPr>
    <w:rPr>
      <w:sz w:val="20"/>
    </w:rPr>
  </w:style>
  <w:style w:styleId="Style_3_ch" w:type="character">
    <w:name w:val="List Paragraph"/>
    <w:basedOn w:val="Style_2_ch"/>
    <w:link w:val="Style_3"/>
    <w:rPr>
      <w:sz w:val="20"/>
    </w:rPr>
  </w:style>
  <w:style w:styleId="Style_28" w:type="paragraph">
    <w:name w:val="Header"/>
    <w:link w:val="Style_28_ch"/>
  </w:style>
  <w:style w:styleId="Style_28_ch" w:type="character">
    <w:name w:val="Header"/>
    <w:link w:val="Style_28"/>
  </w:style>
  <w:style w:styleId="Style_29" w:type="paragraph">
    <w:name w:val="Указатель1"/>
    <w:link w:val="Style_29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2"/>
    </w:rPr>
  </w:style>
  <w:style w:styleId="Style_29_ch" w:type="character">
    <w:name w:val="Указатель1"/>
    <w:link w:val="Style_29"/>
    <w:rPr>
      <w:rFonts w:ascii="PT Astra Serif" w:hAnsi="PT Astra Serif"/>
      <w:color w:val="000000"/>
      <w:spacing w:val="0"/>
      <w:sz w:val="22"/>
    </w:rPr>
  </w:style>
  <w:style w:styleId="Style_30" w:type="paragraph">
    <w:name w:val="Название объекта1"/>
    <w:link w:val="Style_30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30_ch" w:type="character">
    <w:name w:val="Название объекта1"/>
    <w:link w:val="Style_30"/>
    <w:rPr>
      <w:rFonts w:ascii="PT Astra Serif" w:hAnsi="PT Astra Serif"/>
      <w:i w:val="1"/>
      <w:color w:val="000000"/>
      <w:spacing w:val="0"/>
      <w:sz w:val="24"/>
    </w:rPr>
  </w:style>
  <w:style w:styleId="Style_31" w:type="paragraph">
    <w:name w:val="Heading 2"/>
    <w:link w:val="Style_31_ch"/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caption"/>
    <w:basedOn w:val="Style_2"/>
    <w:link w:val="Style_32_ch"/>
    <w:pPr>
      <w:spacing w:after="120" w:before="120"/>
      <w:ind/>
    </w:pPr>
    <w:rPr>
      <w:rFonts w:ascii="PT Astra Serif" w:hAnsi="PT Astra Serif"/>
      <w:i w:val="1"/>
    </w:rPr>
  </w:style>
  <w:style w:styleId="Style_32_ch" w:type="character">
    <w:name w:val="caption"/>
    <w:basedOn w:val="Style_2_ch"/>
    <w:link w:val="Style_32"/>
    <w:rPr>
      <w:rFonts w:ascii="PT Astra Serif" w:hAnsi="PT Astra Serif"/>
      <w:i w:val="1"/>
    </w:rPr>
  </w:style>
  <w:style w:styleId="Style_33" w:type="paragraph">
    <w:name w:val="Heading 3"/>
    <w:link w:val="Style_33_ch"/>
    <w:rPr>
      <w:rFonts w:ascii="XO Thames" w:hAnsi="XO Thames"/>
      <w:b w:val="1"/>
      <w:sz w:val="26"/>
    </w:rPr>
  </w:style>
  <w:style w:styleId="Style_33_ch" w:type="character">
    <w:name w:val="Heading 3"/>
    <w:link w:val="Style_33"/>
    <w:rPr>
      <w:rFonts w:ascii="XO Thames" w:hAnsi="XO Thames"/>
      <w:b w:val="1"/>
      <w:sz w:val="26"/>
    </w:rPr>
  </w:style>
  <w:style w:styleId="Style_34" w:type="paragraph">
    <w:name w:val="Contents 3"/>
    <w:link w:val="Style_3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4_ch" w:type="character">
    <w:name w:val="Contents 3"/>
    <w:link w:val="Style_34"/>
    <w:rPr>
      <w:rFonts w:ascii="XO Thames" w:hAnsi="XO Thames"/>
      <w:color w:val="000000"/>
      <w:spacing w:val="0"/>
      <w:sz w:val="28"/>
    </w:rPr>
  </w:style>
  <w:style w:styleId="Style_35" w:type="paragraph">
    <w:name w:val="toc 3"/>
    <w:next w:val="Style_2"/>
    <w:link w:val="Style_35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5_ch" w:type="character">
    <w:name w:val="toc 3"/>
    <w:link w:val="Style_35"/>
    <w:rPr>
      <w:rFonts w:ascii="XO Thames" w:hAnsi="XO Thames"/>
      <w:color w:val="000000"/>
      <w:spacing w:val="0"/>
      <w:sz w:val="28"/>
    </w:rPr>
  </w:style>
  <w:style w:styleId="Style_36" w:type="paragraph">
    <w:name w:val="Заголовок 51"/>
    <w:link w:val="Style_3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36_ch" w:type="character">
    <w:name w:val="Заголовок 51"/>
    <w:link w:val="Style_36"/>
    <w:rPr>
      <w:rFonts w:ascii="XO Thames" w:hAnsi="XO Thames"/>
      <w:b w:val="1"/>
      <w:color w:val="000000"/>
      <w:spacing w:val="0"/>
      <w:sz w:val="22"/>
    </w:rPr>
  </w:style>
  <w:style w:styleId="Style_37" w:type="paragraph">
    <w:name w:val="Contents 1"/>
    <w:link w:val="Style_3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7_ch" w:type="character">
    <w:name w:val="Contents 1"/>
    <w:link w:val="Style_37"/>
    <w:rPr>
      <w:rFonts w:ascii="XO Thames" w:hAnsi="XO Thames"/>
      <w:b w:val="1"/>
      <w:color w:val="000000"/>
      <w:spacing w:val="0"/>
      <w:sz w:val="28"/>
    </w:rPr>
  </w:style>
  <w:style w:styleId="Style_38" w:type="paragraph">
    <w:name w:val="Содержимое врезки"/>
    <w:basedOn w:val="Style_2"/>
    <w:link w:val="Style_38_ch"/>
  </w:style>
  <w:style w:styleId="Style_38_ch" w:type="character">
    <w:name w:val="Содержимое врезки"/>
    <w:basedOn w:val="Style_2_ch"/>
    <w:link w:val="Style_38"/>
  </w:style>
  <w:style w:styleId="Style_39" w:type="paragraph">
    <w:name w:val="ConsPlusNonformat"/>
    <w:link w:val="Style_39_ch"/>
    <w:pPr>
      <w:widowControl w:val="0"/>
      <w:spacing w:after="0" w:before="0" w:line="240" w:lineRule="auto"/>
      <w:ind w:firstLine="0" w:left="0" w:right="0"/>
      <w:jc w:val="left"/>
    </w:pPr>
    <w:rPr>
      <w:rFonts w:ascii="Courier New" w:hAnsi="Courier New"/>
      <w:color w:val="000000"/>
      <w:spacing w:val="0"/>
      <w:sz w:val="20"/>
    </w:rPr>
  </w:style>
  <w:style w:styleId="Style_39_ch" w:type="character">
    <w:name w:val="ConsPlusNonformat"/>
    <w:link w:val="Style_39"/>
    <w:rPr>
      <w:rFonts w:ascii="Courier New" w:hAnsi="Courier New"/>
      <w:color w:val="000000"/>
      <w:spacing w:val="0"/>
      <w:sz w:val="20"/>
    </w:rPr>
  </w:style>
  <w:style w:styleId="Style_40" w:type="paragraph">
    <w:name w:val="Default Paragraph Font"/>
    <w:link w:val="Style_40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40_ch" w:type="character">
    <w:name w:val="Default Paragraph Font"/>
    <w:link w:val="Style_40"/>
    <w:rPr>
      <w:rFonts w:asciiTheme="minorAscii" w:hAnsiTheme="minorHAnsi"/>
      <w:color w:val="000000"/>
      <w:spacing w:val="0"/>
      <w:sz w:val="22"/>
    </w:rPr>
  </w:style>
  <w:style w:styleId="Style_41" w:type="paragraph">
    <w:name w:val="Contents 8"/>
    <w:link w:val="Style_4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1_ch" w:type="character">
    <w:name w:val="Contents 8"/>
    <w:link w:val="Style_41"/>
    <w:rPr>
      <w:rFonts w:ascii="XO Thames" w:hAnsi="XO Thames"/>
      <w:color w:val="000000"/>
      <w:spacing w:val="0"/>
      <w:sz w:val="28"/>
    </w:rPr>
  </w:style>
  <w:style w:styleId="Style_42" w:type="paragraph">
    <w:name w:val="List"/>
    <w:basedOn w:val="Style_15"/>
    <w:link w:val="Style_42_ch"/>
    <w:rPr>
      <w:rFonts w:ascii="PT Astra Serif" w:hAnsi="PT Astra Serif"/>
    </w:rPr>
  </w:style>
  <w:style w:styleId="Style_42_ch" w:type="character">
    <w:name w:val="List"/>
    <w:basedOn w:val="Style_15_ch"/>
    <w:link w:val="Style_42"/>
    <w:rPr>
      <w:rFonts w:ascii="PT Astra Serif" w:hAnsi="PT Astra Serif"/>
    </w:rPr>
  </w:style>
  <w:style w:styleId="Style_43" w:type="paragraph">
    <w:name w:val="Абзац списка1"/>
    <w:link w:val="Style_43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0"/>
    </w:rPr>
  </w:style>
  <w:style w:styleId="Style_43_ch" w:type="character">
    <w:name w:val="Абзац списка1"/>
    <w:link w:val="Style_43"/>
    <w:rPr>
      <w:rFonts w:asciiTheme="minorAscii" w:hAnsiTheme="minorHAnsi"/>
      <w:color w:val="000000"/>
      <w:spacing w:val="0"/>
      <w:sz w:val="20"/>
    </w:rPr>
  </w:style>
  <w:style w:styleId="Style_44" w:type="paragraph">
    <w:name w:val="Гиперссылка1"/>
    <w:link w:val="Style_44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44_ch" w:type="character">
    <w:name w:val="Гиперссылка1"/>
    <w:link w:val="Style_44"/>
    <w:rPr>
      <w:rFonts w:ascii="Calibri" w:hAnsi="Calibri"/>
      <w:color w:val="0000FF"/>
      <w:spacing w:val="0"/>
      <w:sz w:val="22"/>
      <w:u w:val="single"/>
    </w:rPr>
  </w:style>
  <w:style w:styleId="Style_45" w:type="paragraph">
    <w:name w:val="Заголовок 21"/>
    <w:link w:val="Style_4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45_ch" w:type="character">
    <w:name w:val="Заголовок 21"/>
    <w:link w:val="Style_45"/>
    <w:rPr>
      <w:rFonts w:ascii="XO Thames" w:hAnsi="XO Thames"/>
      <w:b w:val="1"/>
      <w:color w:val="000000"/>
      <w:spacing w:val="0"/>
      <w:sz w:val="28"/>
    </w:rPr>
  </w:style>
  <w:style w:styleId="Style_46" w:type="paragraph">
    <w:name w:val="heading 5"/>
    <w:next w:val="Style_2"/>
    <w:link w:val="Style_4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46_ch" w:type="character">
    <w:name w:val="heading 5"/>
    <w:link w:val="Style_46"/>
    <w:rPr>
      <w:rFonts w:ascii="XO Thames" w:hAnsi="XO Thames"/>
      <w:b w:val="1"/>
      <w:color w:val="000000"/>
      <w:spacing w:val="0"/>
      <w:sz w:val="22"/>
    </w:rPr>
  </w:style>
  <w:style w:styleId="Style_47" w:type="paragraph">
    <w:name w:val="Список1"/>
    <w:basedOn w:val="Style_25"/>
    <w:link w:val="Style_47_ch"/>
    <w:rPr>
      <w:rFonts w:ascii="PT Astra Serif" w:hAnsi="PT Astra Serif"/>
    </w:rPr>
  </w:style>
  <w:style w:styleId="Style_47_ch" w:type="character">
    <w:name w:val="Список1"/>
    <w:basedOn w:val="Style_25_ch"/>
    <w:link w:val="Style_47"/>
    <w:rPr>
      <w:rFonts w:ascii="PT Astra Serif" w:hAnsi="PT Astra Serif"/>
    </w:rPr>
  </w:style>
  <w:style w:styleId="Style_48" w:type="paragraph">
    <w:name w:val="Заголовок 41"/>
    <w:link w:val="Style_4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48_ch" w:type="character">
    <w:name w:val="Заголовок 41"/>
    <w:link w:val="Style_48"/>
    <w:rPr>
      <w:rFonts w:ascii="XO Thames" w:hAnsi="XO Thames"/>
      <w:b w:val="1"/>
      <w:color w:val="000000"/>
      <w:spacing w:val="0"/>
      <w:sz w:val="24"/>
    </w:rPr>
  </w:style>
  <w:style w:styleId="Style_49" w:type="paragraph">
    <w:name w:val="Название1"/>
    <w:link w:val="Style_4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49_ch" w:type="character">
    <w:name w:val="Название1"/>
    <w:link w:val="Style_49"/>
    <w:rPr>
      <w:rFonts w:ascii="XO Thames" w:hAnsi="XO Thames"/>
      <w:b w:val="1"/>
      <w:caps w:val="1"/>
      <w:color w:val="000000"/>
      <w:spacing w:val="0"/>
      <w:sz w:val="40"/>
    </w:rPr>
  </w:style>
  <w:style w:styleId="Style_50" w:type="paragraph">
    <w:name w:val="Subtitle"/>
    <w:next w:val="Style_2"/>
    <w:link w:val="Style_50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50_ch" w:type="character">
    <w:name w:val="Subtitle"/>
    <w:link w:val="Style_50"/>
    <w:rPr>
      <w:rFonts w:ascii="XO Thames" w:hAnsi="XO Thames"/>
      <w:i w:val="1"/>
      <w:color w:val="000000"/>
      <w:spacing w:val="0"/>
      <w:sz w:val="24"/>
    </w:rPr>
  </w:style>
  <w:style w:styleId="Style_51" w:type="paragraph">
    <w:name w:val="heading 1"/>
    <w:basedOn w:val="Style_2"/>
    <w:next w:val="Style_2"/>
    <w:link w:val="Style_51_ch"/>
    <w:uiPriority w:val="9"/>
    <w:qFormat/>
    <w:pPr>
      <w:keepNext w:val="1"/>
      <w:spacing w:line="240" w:lineRule="exact"/>
      <w:ind w:hanging="216" w:left="216" w:right="0"/>
      <w:outlineLvl w:val="0"/>
    </w:pPr>
    <w:rPr>
      <w:sz w:val="28"/>
    </w:rPr>
  </w:style>
  <w:style w:styleId="Style_51_ch" w:type="character">
    <w:name w:val="heading 1"/>
    <w:basedOn w:val="Style_2_ch"/>
    <w:link w:val="Style_51"/>
    <w:rPr>
      <w:sz w:val="28"/>
    </w:rPr>
  </w:style>
  <w:style w:styleId="Style_52" w:type="paragraph">
    <w:name w:val="Heading 4"/>
    <w:link w:val="Style_52_ch"/>
    <w:rPr>
      <w:rFonts w:ascii="XO Thames" w:hAnsi="XO Thames"/>
      <w:b w:val="1"/>
      <w:sz w:val="24"/>
    </w:rPr>
  </w:style>
  <w:style w:styleId="Style_52_ch" w:type="character">
    <w:name w:val="Heading 4"/>
    <w:link w:val="Style_52"/>
    <w:rPr>
      <w:rFonts w:ascii="XO Thames" w:hAnsi="XO Thames"/>
      <w:b w:val="1"/>
      <w:sz w:val="24"/>
    </w:rPr>
  </w:style>
  <w:style w:styleId="Style_53" w:type="paragraph">
    <w:name w:val="Hyperlink"/>
    <w:link w:val="Style_53_ch"/>
    <w:rPr>
      <w:color w:val="0000FF"/>
      <w:u w:val="single"/>
    </w:rPr>
  </w:style>
  <w:style w:styleId="Style_53_ch" w:type="character">
    <w:name w:val="Hyperlink"/>
    <w:link w:val="Style_53"/>
    <w:rPr>
      <w:color w:val="0000FF"/>
      <w:u w:val="single"/>
    </w:rPr>
  </w:style>
  <w:style w:styleId="Style_54" w:type="paragraph">
    <w:name w:val="Footnote"/>
    <w:link w:val="Style_54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54_ch" w:type="character">
    <w:name w:val="Footnote"/>
    <w:link w:val="Style_54"/>
    <w:rPr>
      <w:rFonts w:ascii="XO Thames" w:hAnsi="XO Thames"/>
      <w:color w:val="000000"/>
      <w:spacing w:val="0"/>
      <w:sz w:val="22"/>
    </w:rPr>
  </w:style>
  <w:style w:styleId="Style_55" w:type="paragraph">
    <w:name w:val="toc 1"/>
    <w:next w:val="Style_2"/>
    <w:link w:val="Style_55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55_ch" w:type="character">
    <w:name w:val="toc 1"/>
    <w:link w:val="Style_55"/>
    <w:rPr>
      <w:rFonts w:ascii="XO Thames" w:hAnsi="XO Thames"/>
      <w:b w:val="1"/>
      <w:color w:val="000000"/>
      <w:spacing w:val="0"/>
      <w:sz w:val="28"/>
    </w:rPr>
  </w:style>
  <w:style w:styleId="Style_56" w:type="paragraph">
    <w:name w:val="Header and Footer"/>
    <w:link w:val="Style_56_ch"/>
    <w:rPr>
      <w:rFonts w:ascii="XO Thames" w:hAnsi="XO Thames"/>
      <w:sz w:val="20"/>
    </w:rPr>
  </w:style>
  <w:style w:styleId="Style_56_ch" w:type="character">
    <w:name w:val="Header and Footer"/>
    <w:link w:val="Style_56"/>
    <w:rPr>
      <w:rFonts w:ascii="XO Thames" w:hAnsi="XO Thames"/>
      <w:sz w:val="20"/>
    </w:rPr>
  </w:style>
  <w:style w:styleId="Style_57" w:type="paragraph">
    <w:name w:val="toc 9"/>
    <w:next w:val="Style_2"/>
    <w:link w:val="Style_57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57_ch" w:type="character">
    <w:name w:val="toc 9"/>
    <w:link w:val="Style_57"/>
    <w:rPr>
      <w:rFonts w:ascii="XO Thames" w:hAnsi="XO Thames"/>
      <w:color w:val="000000"/>
      <w:spacing w:val="0"/>
      <w:sz w:val="28"/>
    </w:rPr>
  </w:style>
  <w:style w:styleId="Style_58" w:type="paragraph">
    <w:name w:val="Заголовок"/>
    <w:basedOn w:val="Style_2"/>
    <w:next w:val="Style_15"/>
    <w:link w:val="Style_58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58_ch" w:type="character">
    <w:name w:val="Заголовок"/>
    <w:basedOn w:val="Style_2_ch"/>
    <w:link w:val="Style_58"/>
    <w:rPr>
      <w:rFonts w:ascii="PT Astra Serif" w:hAnsi="PT Astra Serif"/>
      <w:sz w:val="28"/>
    </w:rPr>
  </w:style>
  <w:style w:styleId="Style_59" w:type="paragraph">
    <w:name w:val="toc 8"/>
    <w:next w:val="Style_2"/>
    <w:link w:val="Style_59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59_ch" w:type="character">
    <w:name w:val="toc 8"/>
    <w:link w:val="Style_59"/>
    <w:rPr>
      <w:rFonts w:ascii="XO Thames" w:hAnsi="XO Thames"/>
      <w:color w:val="000000"/>
      <w:spacing w:val="0"/>
      <w:sz w:val="28"/>
    </w:rPr>
  </w:style>
  <w:style w:styleId="Style_60" w:type="paragraph">
    <w:name w:val="Internet link"/>
    <w:link w:val="Style_60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60_ch" w:type="character">
    <w:name w:val="Internet link"/>
    <w:link w:val="Style_60"/>
    <w:rPr>
      <w:rFonts w:ascii="Calibri" w:hAnsi="Calibri"/>
      <w:color w:val="0000FF"/>
      <w:spacing w:val="0"/>
      <w:sz w:val="22"/>
      <w:u w:val="single"/>
    </w:rPr>
  </w:style>
  <w:style w:styleId="Style_61" w:type="paragraph">
    <w:name w:val="Верхний колонтитул1"/>
    <w:link w:val="Style_6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61_ch" w:type="character">
    <w:name w:val="Верхний колонтитул1"/>
    <w:link w:val="Style_61"/>
    <w:rPr>
      <w:rFonts w:asciiTheme="minorAscii" w:hAnsiTheme="minorHAnsi"/>
      <w:color w:val="000000"/>
      <w:spacing w:val="0"/>
      <w:sz w:val="22"/>
    </w:rPr>
  </w:style>
  <w:style w:styleId="Style_62" w:type="paragraph">
    <w:name w:val="index heading"/>
    <w:basedOn w:val="Style_2"/>
    <w:link w:val="Style_62_ch"/>
    <w:rPr>
      <w:rFonts w:ascii="PT Astra Serif" w:hAnsi="PT Astra Serif"/>
    </w:rPr>
  </w:style>
  <w:style w:styleId="Style_62_ch" w:type="character">
    <w:name w:val="index heading"/>
    <w:basedOn w:val="Style_2_ch"/>
    <w:link w:val="Style_62"/>
    <w:rPr>
      <w:rFonts w:ascii="PT Astra Serif" w:hAnsi="PT Astra Serif"/>
    </w:rPr>
  </w:style>
  <w:style w:styleId="Style_63" w:type="paragraph">
    <w:name w:val="toc 5"/>
    <w:next w:val="Style_2"/>
    <w:link w:val="Style_63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63_ch" w:type="character">
    <w:name w:val="toc 5"/>
    <w:link w:val="Style_63"/>
    <w:rPr>
      <w:rFonts w:ascii="XO Thames" w:hAnsi="XO Thames"/>
      <w:color w:val="000000"/>
      <w:spacing w:val="0"/>
      <w:sz w:val="28"/>
    </w:rPr>
  </w:style>
  <w:style w:styleId="Style_64" w:type="paragraph">
    <w:name w:val="Основной шрифт абзаца1"/>
    <w:link w:val="Style_6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64_ch" w:type="character">
    <w:name w:val="Основной шрифт абзаца1"/>
    <w:link w:val="Style_64"/>
    <w:rPr>
      <w:rFonts w:asciiTheme="minorAscii" w:hAnsiTheme="minorHAnsi"/>
      <w:color w:val="000000"/>
      <w:spacing w:val="0"/>
      <w:sz w:val="22"/>
    </w:rPr>
  </w:style>
  <w:style w:styleId="Style_65" w:type="paragraph">
    <w:name w:val="List"/>
    <w:basedOn w:val="Style_25"/>
    <w:link w:val="Style_65_ch"/>
    <w:rPr>
      <w:rFonts w:ascii="PT Astra Serif" w:hAnsi="PT Astra Serif"/>
    </w:rPr>
  </w:style>
  <w:style w:styleId="Style_65_ch" w:type="character">
    <w:name w:val="List"/>
    <w:basedOn w:val="Style_25_ch"/>
    <w:link w:val="Style_65"/>
    <w:rPr>
      <w:rFonts w:ascii="PT Astra Serif" w:hAnsi="PT Astra Serif"/>
    </w:rPr>
  </w:style>
  <w:style w:styleId="Style_66" w:type="paragraph">
    <w:name w:val="Contents 9"/>
    <w:link w:val="Style_6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6_ch" w:type="character">
    <w:name w:val="Contents 9"/>
    <w:link w:val="Style_66"/>
    <w:rPr>
      <w:rFonts w:ascii="XO Thames" w:hAnsi="XO Thames"/>
      <w:color w:val="000000"/>
      <w:spacing w:val="0"/>
      <w:sz w:val="28"/>
    </w:rPr>
  </w:style>
  <w:style w:styleId="Style_67" w:type="paragraph">
    <w:name w:val="Contents 2"/>
    <w:link w:val="Style_6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7_ch" w:type="character">
    <w:name w:val="Contents 2"/>
    <w:link w:val="Style_67"/>
    <w:rPr>
      <w:rFonts w:ascii="XO Thames" w:hAnsi="XO Thames"/>
      <w:color w:val="000000"/>
      <w:spacing w:val="0"/>
      <w:sz w:val="28"/>
    </w:rPr>
  </w:style>
  <w:style w:styleId="Style_5" w:type="paragraph">
    <w:name w:val="ConsPlusNormal"/>
    <w:link w:val="Style_5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5_ch" w:type="character">
    <w:name w:val="ConsPlusNormal"/>
    <w:link w:val="Style_5"/>
    <w:rPr>
      <w:rFonts w:asciiTheme="minorAscii" w:hAnsiTheme="minorHAnsi"/>
      <w:color w:val="000000"/>
      <w:spacing w:val="0"/>
      <w:sz w:val="22"/>
    </w:rPr>
  </w:style>
  <w:style w:styleId="Style_68" w:type="paragraph">
    <w:name w:val="Subtitle"/>
    <w:link w:val="Style_68_ch"/>
    <w:uiPriority w:val="11"/>
    <w:qFormat/>
    <w:rPr>
      <w:rFonts w:ascii="XO Thames" w:hAnsi="XO Thames"/>
      <w:i w:val="1"/>
      <w:sz w:val="24"/>
    </w:rPr>
  </w:style>
  <w:style w:styleId="Style_68_ch" w:type="character">
    <w:name w:val="Subtitle"/>
    <w:link w:val="Style_68"/>
    <w:rPr>
      <w:rFonts w:ascii="XO Thames" w:hAnsi="XO Thames"/>
      <w:i w:val="1"/>
      <w:sz w:val="24"/>
    </w:rPr>
  </w:style>
  <w:style w:styleId="Style_69" w:type="paragraph">
    <w:name w:val="Title"/>
    <w:link w:val="Style_69_ch"/>
    <w:uiPriority w:val="10"/>
    <w:qFormat/>
    <w:rPr>
      <w:rFonts w:ascii="XO Thames" w:hAnsi="XO Thames"/>
      <w:b w:val="1"/>
      <w:caps w:val="1"/>
      <w:sz w:val="40"/>
    </w:rPr>
  </w:style>
  <w:style w:styleId="Style_69_ch" w:type="character">
    <w:name w:val="Title"/>
    <w:link w:val="Style_69"/>
    <w:rPr>
      <w:rFonts w:ascii="XO Thames" w:hAnsi="XO Thames"/>
      <w:b w:val="1"/>
      <w:caps w:val="1"/>
      <w:sz w:val="40"/>
    </w:rPr>
  </w:style>
  <w:style w:styleId="Style_70" w:type="paragraph">
    <w:name w:val="heading 4"/>
    <w:next w:val="Style_2"/>
    <w:link w:val="Style_70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70_ch" w:type="character">
    <w:name w:val="heading 4"/>
    <w:link w:val="Style_70"/>
    <w:rPr>
      <w:rFonts w:ascii="XO Thames" w:hAnsi="XO Thames"/>
      <w:b w:val="1"/>
      <w:color w:val="000000"/>
      <w:spacing w:val="0"/>
      <w:sz w:val="24"/>
    </w:rPr>
  </w:style>
  <w:style w:styleId="Style_71" w:type="paragraph">
    <w:name w:val="Обычный (веб)1"/>
    <w:link w:val="Style_7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71_ch" w:type="character">
    <w:name w:val="Обычный (веб)1"/>
    <w:link w:val="Style_71"/>
    <w:rPr>
      <w:rFonts w:asciiTheme="minorAscii" w:hAnsiTheme="minorHAnsi"/>
      <w:color w:val="000000"/>
      <w:spacing w:val="0"/>
      <w:sz w:val="22"/>
    </w:rPr>
  </w:style>
  <w:style w:styleId="Style_72" w:type="paragraph">
    <w:name w:val="heading 2"/>
    <w:next w:val="Style_2"/>
    <w:link w:val="Style_72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72_ch" w:type="character">
    <w:name w:val="heading 2"/>
    <w:link w:val="Style_72"/>
    <w:rPr>
      <w:rFonts w:ascii="XO Thames" w:hAnsi="XO Thames"/>
      <w:b w:val="1"/>
      <w:color w:val="000000"/>
      <w:spacing w:val="0"/>
      <w:sz w:val="28"/>
    </w:rPr>
  </w:style>
  <w:style w:styleId="Style_73" w:type="paragraph">
    <w:name w:val="Верхний колонтитул Знак"/>
    <w:basedOn w:val="Style_64"/>
    <w:link w:val="Style_73_ch"/>
    <w:rPr>
      <w:rFonts w:ascii="Times New Roman" w:hAnsi="Times New Roman"/>
      <w:sz w:val="24"/>
    </w:rPr>
  </w:style>
  <w:style w:styleId="Style_73_ch" w:type="character">
    <w:name w:val="Верхний колонтитул Знак"/>
    <w:basedOn w:val="Style_64_ch"/>
    <w:link w:val="Style_73"/>
    <w:rPr>
      <w:rFonts w:ascii="Times New Roman" w:hAnsi="Times New Roman"/>
      <w:sz w:val="24"/>
    </w:rPr>
  </w:style>
  <w:style w:default="1" w:styleId="Style_6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2024-10-02T14:07:30Z</dcterms:modified>
</cp:coreProperties>
</file>